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rPr>
      </w:pPr>
      <w:r/>
      <w:bookmarkStart w:id="207" w:name="_GoBack"/>
      <w:r/>
      <w:r/>
    </w:p>
    <w:p>
      <w:pPr>
        <w:pStyle w:val="702"/>
        <w:rPr>
          <w:color w:val="auto"/>
        </w:rPr>
      </w:pPr>
      <w:r>
        <w:rPr>
          <w:color w:val="auto"/>
        </w:rPr>
      </w:r>
      <w:r/>
    </w:p>
    <w:p>
      <w:pPr>
        <w:pStyle w:val="1045"/>
        <w:jc w:val="center"/>
        <w:rPr>
          <w:rFonts w:eastAsia="黑体"/>
          <w:b/>
          <w:bCs/>
          <w:color w:val="auto"/>
          <w:sz w:val="84"/>
        </w:rPr>
      </w:pPr>
      <w:r>
        <w:rPr>
          <w:rFonts w:hint="eastAsia" w:eastAsia="黑体"/>
          <w:b/>
          <w:bCs/>
          <w:color w:val="auto"/>
          <w:sz w:val="84"/>
        </w:rPr>
        <w:t xml:space="preserve">招　标　文　件</w:t>
      </w:r>
      <w:r/>
    </w:p>
    <w:p>
      <w:pPr>
        <w:ind w:firstLine="1508"/>
        <w:jc w:val="left"/>
        <w:rPr>
          <w:b/>
          <w:color w:val="auto"/>
          <w:sz w:val="30"/>
          <w:szCs w:val="30"/>
        </w:rPr>
      </w:pPr>
      <w:r>
        <w:rPr>
          <w:rFonts w:hint="eastAsia"/>
          <w:b/>
          <w:color w:val="auto"/>
          <w:sz w:val="30"/>
          <w:szCs w:val="30"/>
        </w:rPr>
        <w:t xml:space="preserve">项目名称：南京市第29中学新校区LED大屏信息发布</w:t>
      </w:r>
      <w:r/>
    </w:p>
    <w:p>
      <w:pPr>
        <w:ind w:firstLine="1508"/>
        <w:jc w:val="left"/>
        <w:rPr>
          <w:b/>
          <w:color w:val="auto"/>
          <w:sz w:val="30"/>
          <w:szCs w:val="30"/>
        </w:rPr>
      </w:pPr>
      <w:r>
        <w:rPr>
          <w:rFonts w:hint="eastAsia"/>
          <w:b/>
          <w:color w:val="auto"/>
          <w:sz w:val="30"/>
          <w:szCs w:val="30"/>
        </w:rPr>
        <w:t xml:space="preserve">及配套设备 </w:t>
      </w:r>
      <w:r/>
    </w:p>
    <w:p>
      <w:pPr>
        <w:ind w:firstLine="1506"/>
        <w:rPr>
          <w:b/>
          <w:color w:val="auto"/>
          <w:sz w:val="30"/>
          <w:szCs w:val="30"/>
        </w:rPr>
      </w:pPr>
      <w:r>
        <w:rPr>
          <w:rFonts w:hint="eastAsia"/>
          <w:b/>
          <w:color w:val="auto"/>
          <w:sz w:val="30"/>
          <w:szCs w:val="30"/>
        </w:rPr>
        <w:t xml:space="preserve">项目编号：</w:t>
      </w:r>
      <w:r>
        <w:rPr>
          <w:rFonts w:hint="eastAsia"/>
          <w:b/>
          <w:color w:val="auto"/>
          <w:sz w:val="32"/>
          <w:szCs w:val="32"/>
        </w:rPr>
        <w:t xml:space="preserve">JSZC-320100-JZCG-G2025-0</w:t>
      </w:r>
      <w:r>
        <w:rPr>
          <w:rFonts w:hint="eastAsia"/>
          <w:b/>
          <w:color w:val="auto"/>
          <w:sz w:val="32"/>
          <w:szCs w:val="32"/>
          <w:lang w:val="en-US" w:eastAsia="zh-CN"/>
        </w:rPr>
        <w:t xml:space="preserve">503</w:t>
      </w:r>
      <w:r>
        <w:rPr>
          <w:rFonts w:hint="eastAsia"/>
          <w:b/>
          <w:color w:val="auto"/>
          <w:sz w:val="30"/>
          <w:szCs w:val="30"/>
        </w:rPr>
        <w:t xml:space="preserve">              </w:t>
      </w:r>
      <w:r/>
    </w:p>
    <w:p>
      <w:pPr>
        <w:jc w:val="center"/>
        <w:rPr>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1045"/>
        <w:ind w:firstLine="0"/>
        <w:jc w:val="center"/>
        <w:rPr>
          <w:b/>
          <w:bCs/>
          <w:color w:val="auto"/>
          <w:sz w:val="32"/>
        </w:rPr>
      </w:pPr>
      <w:r>
        <w:rPr>
          <w:rFonts w:hint="eastAsia"/>
          <w:b/>
          <w:bCs/>
          <w:color w:val="auto"/>
          <w:sz w:val="32"/>
        </w:rPr>
        <w:t xml:space="preserve">南京市公共资源交易中心</w:t>
      </w:r>
      <w:r/>
    </w:p>
    <w:p>
      <w:pPr>
        <w:jc w:val="center"/>
        <w:rPr>
          <w:b/>
          <w:color w:val="auto"/>
          <w:sz w:val="32"/>
          <w:szCs w:val="32"/>
        </w:rPr>
      </w:pPr>
      <w:r>
        <w:rPr>
          <w:rFonts w:hint="eastAsia"/>
          <w:b/>
          <w:color w:val="auto"/>
          <w:sz w:val="32"/>
          <w:szCs w:val="32"/>
        </w:rPr>
        <w:t xml:space="preserve">2025年11月</w:t>
      </w: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ascii="Arial" w:hAnsi="Arial"/>
          <w:color w:val="auto"/>
          <w:sz w:val="24"/>
          <w:szCs w:val="24"/>
        </w:rPr>
      </w:pPr>
      <w:r>
        <w:rPr>
          <w:rFonts w:ascii="Arial" w:hAnsi="Arial"/>
          <w:color w:val="auto"/>
          <w:sz w:val="24"/>
          <w:szCs w:val="24"/>
        </w:rPr>
      </w:r>
      <w:r/>
    </w:p>
    <w:p>
      <w:pPr>
        <w:jc w:val="left"/>
        <w:spacing w:before="120" w:after="120" w:line="360" w:lineRule="auto"/>
        <w:rPr>
          <w:rFonts w:ascii="Arial" w:hAnsi="Arial"/>
          <w:color w:val="auto"/>
          <w:sz w:val="24"/>
          <w:szCs w:val="24"/>
        </w:rPr>
      </w:pPr>
      <w:r>
        <w:rPr>
          <w:rFonts w:ascii="Arial" w:hAnsi="Arial"/>
          <w:color w:val="auto"/>
          <w:sz w:val="24"/>
          <w:szCs w:val="24"/>
        </w:rPr>
      </w:r>
      <w:r/>
    </w:p>
    <w:p>
      <w:pPr>
        <w:jc w:val="left"/>
        <w:spacing w:before="120" w:after="120" w:line="360" w:lineRule="auto"/>
        <w:rPr>
          <w:color w:val="auto"/>
          <w:szCs w:val="21"/>
        </w:rPr>
      </w:pPr>
      <w:r>
        <w:rPr>
          <w:rFonts w:hint="eastAsia" w:ascii="Arial" w:hAnsi="Arial"/>
          <w:color w:val="auto"/>
          <w:sz w:val="24"/>
          <w:szCs w:val="24"/>
        </w:rPr>
        <w:t xml:space="preserve"> </w:t>
      </w:r>
      <w:r/>
    </w:p>
    <w:p>
      <w:pPr>
        <w:jc w:val="center"/>
        <w:spacing w:line="480" w:lineRule="auto"/>
        <w:rPr>
          <w:rFonts w:ascii="黑体" w:hAnsi="Arial" w:eastAsia="黑体"/>
          <w:b/>
          <w:color w:val="auto"/>
          <w:sz w:val="44"/>
          <w:szCs w:val="21"/>
        </w:rPr>
        <w:outlineLvl w:val="0"/>
      </w:pPr>
      <w:r>
        <w:rPr>
          <w:color w:val="auto"/>
          <w:szCs w:val="21"/>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黑体" w:hAnsi="Arial" w:eastAsia="黑体"/>
          <w:b/>
          <w:color w:val="auto"/>
          <w:sz w:val="44"/>
          <w:szCs w:val="21"/>
        </w:rPr>
        <w:t xml:space="preserve">总  目  录</w:t>
      </w: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p>
    <w:p>
      <w:pPr>
        <w:numPr>
          <w:ilvl w:val="0"/>
          <w:numId w:val="4"/>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投标邀请…………………………………… 2</w:t>
      </w:r>
      <w:r/>
    </w:p>
    <w:p>
      <w:pPr>
        <w:numPr>
          <w:ilvl w:val="0"/>
          <w:numId w:val="4"/>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投标人须知………………………………… 5</w:t>
      </w:r>
      <w:r/>
    </w:p>
    <w:p>
      <w:pPr>
        <w:numPr>
          <w:ilvl w:val="0"/>
          <w:numId w:val="4"/>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合同文本……………………………………14</w:t>
      </w:r>
      <w:r/>
    </w:p>
    <w:p>
      <w:pPr>
        <w:numPr>
          <w:ilvl w:val="0"/>
          <w:numId w:val="4"/>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采购需求……………………………………18</w:t>
      </w:r>
      <w:r/>
    </w:p>
    <w:p>
      <w:pPr>
        <w:numPr>
          <w:ilvl w:val="0"/>
          <w:numId w:val="4"/>
        </w:numPr>
        <w:jc w:val="center"/>
        <w:spacing w:line="960" w:lineRule="auto"/>
        <w:rPr>
          <w:rFonts w:hint="eastAsia" w:ascii="黑体" w:hAnsi="宋体" w:eastAsia="黑体"/>
          <w:color w:val="auto"/>
          <w:sz w:val="36"/>
          <w:szCs w:val="21"/>
        </w:rPr>
        <w:outlineLvl w:val="0"/>
      </w:pPr>
      <w:r>
        <w:rPr>
          <w:rFonts w:hint="eastAsia" w:ascii="黑体" w:hAnsi="宋体" w:eastAsia="黑体"/>
          <w:color w:val="auto"/>
          <w:sz w:val="36"/>
          <w:szCs w:val="21"/>
        </w:rPr>
        <w:t xml:space="preserve">评标方法与评标标准………………………44</w:t>
      </w:r>
      <w:r/>
    </w:p>
    <w:p>
      <w:pPr>
        <w:numPr>
          <w:ilvl w:val="0"/>
          <w:numId w:val="4"/>
        </w:numPr>
        <w:jc w:val="center"/>
        <w:spacing w:line="960" w:lineRule="auto"/>
        <w:rPr>
          <w:color w:val="auto"/>
          <w:szCs w:val="21"/>
        </w:rPr>
        <w:outlineLvl w:val="0"/>
      </w:pPr>
      <w:r>
        <w:rPr>
          <w:rFonts w:hint="eastAsia" w:ascii="黑体" w:hAnsi="宋体" w:eastAsia="黑体"/>
          <w:color w:val="auto"/>
          <w:sz w:val="36"/>
          <w:szCs w:val="21"/>
        </w:rPr>
        <w:t xml:space="preserve">投标文件格式………………………………49</w:t>
      </w:r>
      <w:bookmarkEnd w:id="0"/>
      <w:r/>
    </w:p>
    <w:p>
      <w:pPr>
        <w:rPr>
          <w:color w:val="auto"/>
          <w:szCs w:val="21"/>
        </w:rPr>
      </w:pPr>
      <w:r>
        <w:rPr>
          <w:color w:val="auto"/>
          <w:szCs w:val="21"/>
        </w:rPr>
      </w:r>
      <w:r/>
    </w:p>
    <w:p>
      <w:pPr>
        <w:rPr>
          <w:color w:val="auto"/>
          <w:szCs w:val="21"/>
        </w:rPr>
      </w:pPr>
      <w:r>
        <w:rPr>
          <w:color w:val="auto"/>
          <w:szCs w:val="21"/>
        </w:rPr>
      </w:r>
      <w:r/>
    </w:p>
    <w:p>
      <w:pPr>
        <w:ind w:right="840"/>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第一章  投标邀请</w:t>
      </w:r>
      <w:r/>
    </w:p>
    <w:p>
      <w:pPr>
        <w:ind w:firstLine="480"/>
        <w:spacing w:line="264" w:lineRule="auto"/>
        <w:rPr>
          <w:rFonts w:hint="eastAsia" w:ascii="宋体" w:hAnsi="宋体"/>
          <w:color w:val="auto"/>
          <w:sz w:val="24"/>
          <w:szCs w:val="24"/>
        </w:rPr>
      </w:pPr>
      <w:r>
        <w:rPr>
          <w:rFonts w:hint="eastAsia" w:ascii="宋体" w:hAnsi="宋体"/>
          <w:color w:val="auto"/>
          <w:sz w:val="24"/>
          <w:szCs w:val="24"/>
        </w:rPr>
      </w:r>
      <w:r/>
    </w:p>
    <w:p>
      <w:pPr>
        <w:ind w:firstLine="480"/>
        <w:spacing w:line="264" w:lineRule="auto"/>
        <w:rPr>
          <w:rFonts w:hint="eastAsia" w:ascii="宋体" w:hAnsi="宋体"/>
          <w:color w:val="auto"/>
          <w:sz w:val="24"/>
          <w:szCs w:val="24"/>
        </w:rPr>
      </w:pPr>
      <w:r/>
      <w:bookmarkStart w:id="6" w:name="_Toc35393621"/>
      <w:r/>
      <w:bookmarkStart w:id="7" w:name="_Toc28359079"/>
      <w:r/>
      <w:bookmarkStart w:id="8" w:name="_Hlk24379207"/>
      <w:r/>
      <w:bookmarkStart w:id="9" w:name="_Toc35393790"/>
      <w:r/>
      <w:bookmarkStart w:id="10" w:name="_Toc28359002"/>
      <w:r/>
      <w:bookmarkStart w:id="11" w:name="_Toc38985263"/>
      <w:r>
        <w:rPr>
          <w:rFonts w:hint="eastAsia" w:ascii="宋体" w:hAnsi="宋体"/>
          <w:color w:val="auto"/>
          <w:sz w:val="24"/>
          <w:szCs w:val="24"/>
        </w:rPr>
        <w:t xml:space="preserve">受南京市鼓楼区教育局委托，南京市公共资源交易中心（以下简称“交易中心”）就南京市第29中学新校区LED大屏信息发布及配套设备进行公开招标采购，欢迎符合条件的供应商投标。</w:t>
      </w:r>
      <w:r/>
    </w:p>
    <w:p>
      <w:pPr>
        <w:pStyle w:val="965"/>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color w:val="auto"/>
          <w:sz w:val="24"/>
          <w:szCs w:val="24"/>
        </w:rPr>
      </w:pPr>
      <w:r/>
      <w:bookmarkStart w:id="12" w:name="_Toc35393791"/>
      <w:r/>
      <w:bookmarkStart w:id="13" w:name="_Toc28359003"/>
      <w:r/>
      <w:bookmarkStart w:id="14" w:name="_Toc38985264"/>
      <w:r/>
      <w:bookmarkStart w:id="15" w:name="_Toc28359080"/>
      <w:r/>
      <w:bookmarkStart w:id="16" w:name="_Toc35393622"/>
      <w:r>
        <w:rPr>
          <w:rFonts w:hint="eastAsia" w:ascii="宋体" w:hAnsi="宋体"/>
          <w:color w:val="auto"/>
          <w:sz w:val="24"/>
          <w:szCs w:val="24"/>
        </w:rPr>
        <w:t xml:space="preserve">1.项目编号：JSZC-320100-JZCG-G2025-0</w:t>
      </w:r>
      <w:r>
        <w:rPr>
          <w:rFonts w:hint="eastAsia" w:ascii="宋体" w:hAnsi="宋体"/>
          <w:color w:val="auto"/>
          <w:sz w:val="24"/>
          <w:szCs w:val="24"/>
          <w:lang w:val="en-US" w:eastAsia="zh-CN"/>
        </w:rPr>
        <w:t xml:space="preserve">503</w:t>
      </w:r>
      <w:r>
        <w:rPr>
          <w:rFonts w:hint="eastAsia" w:ascii="宋体" w:hAnsi="宋体"/>
          <w:color w:val="auto"/>
          <w:sz w:val="24"/>
          <w:szCs w:val="24"/>
        </w:rPr>
        <w:t xml:space="preserve">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2.项目名称：南京市第29中学新校区LED大屏信息发布及配套设备</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3.预算金额：885万元</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4.最高限</w:t>
      </w:r>
      <w:r>
        <w:rPr>
          <w:rFonts w:hint="eastAsia" w:ascii="宋体" w:hAnsi="宋体"/>
          <w:color w:val="auto"/>
          <w:sz w:val="24"/>
          <w:szCs w:val="24"/>
        </w:rPr>
        <w:t xml:space="preserve">价：本项目不设最高限价。</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5.采购需求（简介）：南京市第29中学新校区LED大屏信息发布及配套设备采购，主要是新校区礼堂、报告厅、风雨操场、武术馆、操场、教学楼公共走道等区域的LED全彩屏、信息发布屏、液晶拼接屏及配套的高清分布式编解码器等。（详细内容见本招标文件第四章）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6.合同履行期限：60天</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7.本项目不接受进口产品投标。</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965"/>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color w:val="auto"/>
          <w:sz w:val="24"/>
          <w:szCs w:val="24"/>
        </w:rPr>
      </w:pPr>
      <w:r/>
      <w:bookmarkStart w:id="17" w:name="_Toc35393792"/>
      <w:r/>
      <w:bookmarkStart w:id="18" w:name="_Toc28359081"/>
      <w:r/>
      <w:bookmarkStart w:id="19" w:name="_Toc28359004"/>
      <w:r/>
      <w:bookmarkStart w:id="20" w:name="_Toc35393623"/>
      <w:r/>
      <w:bookmarkStart w:id="21" w:name="_Toc38985265"/>
      <w:r>
        <w:rPr>
          <w:rFonts w:hint="eastAsia" w:ascii="宋体" w:hAnsi="宋体" w:cs="宋体"/>
          <w:color w:val="auto"/>
          <w:sz w:val="24"/>
          <w:szCs w:val="24"/>
        </w:rPr>
        <w:t xml:space="preserve">（一）通用资格要求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2.落实政府采购政策需满足的资格要求：无</w:t>
      </w:r>
      <w:r/>
    </w:p>
    <w:p>
      <w:pPr>
        <w:ind w:firstLine="480"/>
        <w:spacing w:line="264" w:lineRule="auto"/>
        <w:rPr>
          <w:rFonts w:hint="eastAsia" w:ascii="宋体" w:hAnsi="宋体"/>
          <w:color w:val="auto"/>
          <w:sz w:val="24"/>
          <w:szCs w:val="24"/>
        </w:rPr>
      </w:pPr>
      <w:r>
        <w:rPr>
          <w:rFonts w:hint="eastAsia" w:ascii="宋体" w:hAnsi="宋体"/>
          <w:color w:val="auto"/>
          <w:sz w:val="24"/>
          <w:szCs w:val="24"/>
          <w:lang w:val="zh-CN"/>
        </w:rPr>
        <w:t xml:space="preserve">本项目采购标的对应的中小企业划分标准所属行业为：</w:t>
      </w:r>
      <w:r>
        <w:rPr>
          <w:rFonts w:hint="eastAsia" w:ascii="宋体" w:hAnsi="宋体"/>
          <w:color w:val="auto"/>
          <w:sz w:val="24"/>
          <w:szCs w:val="24"/>
        </w:rPr>
        <w:t xml:space="preserve">工业。</w:t>
      </w:r>
      <w:r/>
    </w:p>
    <w:p>
      <w:pPr>
        <w:ind w:firstLine="480"/>
        <w:spacing w:line="264" w:lineRule="auto"/>
        <w:rPr>
          <w:rFonts w:hint="eastAsia"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olor w:val="auto"/>
          <w:sz w:val="24"/>
          <w:szCs w:val="24"/>
        </w:rPr>
        <w:t xml:space="preserve">无。</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（三）拒绝下述供应商参加本次采购活动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3.供应商被“信用中国”网站（www.creditchina.gov.cn）、“中国政府采购网”（www.ccgp.gov.cn）列入失信被执行人、重大税收违法案件当事人名单、政府采购严重违法失信行为记录名单。</w:t>
      </w:r>
      <w:r/>
    </w:p>
    <w:p>
      <w:pPr>
        <w:pStyle w:val="965"/>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color w:val="auto"/>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rPr>
        <w:t xml:space="preserve">1.时间：自招标文件公告发布之日起。</w:t>
      </w:r>
      <w:r/>
    </w:p>
    <w:p>
      <w:pPr>
        <w:ind w:firstLine="480"/>
        <w:spacing w:line="264" w:lineRule="auto"/>
        <w:rPr>
          <w:rFonts w:hint="eastAsia"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65"/>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64" w:lineRule="auto"/>
        <w:rPr>
          <w:rFonts w:hint="eastAsia" w:ascii="宋体" w:hAnsi="宋体"/>
          <w:bCs/>
          <w:color w:val="auto"/>
          <w:sz w:val="24"/>
          <w:szCs w:val="24"/>
          <w:u w:val="single"/>
        </w:rPr>
      </w:pPr>
      <w:r/>
      <w:bookmarkStart w:id="27" w:name="_Toc38985267"/>
      <w:r/>
      <w:bookmarkStart w:id="28" w:name="_Toc28359084"/>
      <w:r/>
      <w:bookmarkStart w:id="29" w:name="_Toc35393625"/>
      <w:r/>
      <w:bookmarkStart w:id="30" w:name="_Toc35393794"/>
      <w:r/>
      <w:bookmarkStart w:id="31" w:name="_Toc28359007"/>
      <w:r>
        <w:rPr>
          <w:rFonts w:hint="eastAsia" w:ascii="宋体" w:hAnsi="宋体" w:cs="宋体"/>
          <w:color w:val="auto"/>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25</w:t>
      </w:r>
      <w:r>
        <w:rPr>
          <w:rFonts w:hint="eastAsia" w:ascii="宋体" w:hAnsi="宋体"/>
          <w:bCs/>
          <w:color w:val="auto"/>
          <w:sz w:val="24"/>
          <w:szCs w:val="24"/>
        </w:rPr>
        <w:t xml:space="preserve">年</w:t>
      </w: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bCs/>
          <w:color w:val="auto"/>
          <w:sz w:val="24"/>
          <w:szCs w:val="24"/>
        </w:rPr>
        <w:t xml:space="preserve">月</w:t>
      </w:r>
      <w:r>
        <w:rPr>
          <w:rFonts w:hint="eastAsia" w:ascii="宋体" w:hAnsi="宋体"/>
          <w:bCs/>
          <w:color w:val="auto"/>
          <w:sz w:val="24"/>
          <w:szCs w:val="24"/>
          <w:lang w:val="en-US" w:eastAsia="zh-CN"/>
        </w:rPr>
        <w:t xml:space="preserve">19</w:t>
      </w:r>
      <w:r>
        <w:rPr>
          <w:rFonts w:hint="eastAsia" w:ascii="宋体" w:hAnsi="宋体"/>
          <w:bCs/>
          <w:color w:val="auto"/>
          <w:sz w:val="24"/>
          <w:szCs w:val="24"/>
        </w:rPr>
        <w:t xml:space="preserve">日9</w:t>
      </w:r>
      <w:r>
        <w:rPr>
          <w:rFonts w:hint="eastAsia"/>
          <w:bCs/>
          <w:color w:val="auto"/>
          <w:sz w:val="24"/>
          <w:szCs w:val="24"/>
        </w:rPr>
        <w:t xml:space="preserve">时</w:t>
      </w:r>
      <w:r>
        <w:rPr>
          <w:rFonts w:hint="eastAsia" w:ascii="宋体" w:hAnsi="宋体" w:cs="宋体"/>
          <w:color w:val="auto"/>
          <w:sz w:val="24"/>
          <w:szCs w:val="24"/>
        </w:rPr>
        <w:t xml:space="preserve">30</w:t>
      </w:r>
      <w:r>
        <w:rPr>
          <w:rFonts w:hint="eastAsia" w:ascii="宋体" w:hAnsi="宋体"/>
          <w:bCs/>
          <w:color w:val="auto"/>
          <w:sz w:val="24"/>
          <w:szCs w:val="24"/>
        </w:rPr>
        <w:t xml:space="preserve">分（北京时间）。</w:t>
      </w:r>
      <w:r/>
    </w:p>
    <w:p>
      <w:pPr>
        <w:ind w:firstLine="480"/>
        <w:spacing w:line="264" w:lineRule="auto"/>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965"/>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color w:val="auto"/>
          <w:sz w:val="24"/>
          <w:szCs w:val="24"/>
        </w:rPr>
      </w:pPr>
      <w:r/>
      <w:bookmarkStart w:id="32" w:name="_Toc35393795"/>
      <w:r/>
      <w:bookmarkStart w:id="33" w:name="_Toc38985268"/>
      <w:r/>
      <w:bookmarkStart w:id="34" w:name="_Toc35393626"/>
      <w:r>
        <w:rPr>
          <w:rFonts w:hint="eastAsia" w:ascii="宋体" w:hAnsi="宋体" w:cs="宋体"/>
          <w:color w:val="auto"/>
          <w:sz w:val="24"/>
          <w:szCs w:val="24"/>
        </w:rPr>
        <w:t xml:space="preserve">公告期限为自本公告发布之日起5个工作日。</w:t>
      </w:r>
      <w:r/>
    </w:p>
    <w:p>
      <w:pPr>
        <w:pStyle w:val="965"/>
        <w:ind w:firstLine="498"/>
        <w:spacing w:before="145" w:after="145" w:line="264" w:lineRule="auto"/>
        <w:rPr>
          <w:color w:val="auto"/>
        </w:rPr>
      </w:pPr>
      <w:r>
        <w:rPr>
          <w:rFonts w:hint="eastAsia"/>
          <w:color w:val="auto"/>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color w:val="auto"/>
          <w:sz w:val="24"/>
          <w:szCs w:val="24"/>
        </w:rPr>
      </w:pPr>
      <w:r/>
      <w:bookmarkStart w:id="35" w:name="_Toc28359008"/>
      <w:r/>
      <w:bookmarkStart w:id="36" w:name="_Toc28359085"/>
      <w:r/>
      <w:bookmarkStart w:id="37" w:name="_Toc38985269"/>
      <w:r/>
      <w:bookmarkStart w:id="38" w:name="_Toc35393796"/>
      <w:r/>
      <w:bookmarkStart w:id="39" w:name="_Toc35393627"/>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64"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1032"/>
          <w:rFonts w:hint="eastAsia" w:ascii="宋体" w:hAnsi="宋体" w:cs="宋体"/>
          <w:color w:val="auto"/>
          <w:sz w:val="24"/>
          <w:szCs w:val="24"/>
        </w:rPr>
        <w:t xml:space="preserve">下载地址</w:t>
      </w:r>
      <w:r>
        <w:rPr>
          <w:rStyle w:val="1032"/>
          <w:rFonts w:hint="eastAsia" w:ascii="宋体" w:hAnsi="宋体" w:cs="宋体"/>
          <w:color w:val="auto"/>
          <w:sz w:val="24"/>
          <w:szCs w:val="24"/>
        </w:rPr>
        <w:fldChar w:fldCharType="end"/>
      </w:r>
      <w:r>
        <w:rPr>
          <w:rFonts w:hint="eastAsia" w:ascii="宋体" w:hAnsi="宋体" w:cs="宋体"/>
          <w:color w:val="auto"/>
          <w:sz w:val="24"/>
          <w:szCs w:val="24"/>
        </w:rPr>
        <w:t xml:space="preserve">（CTRL+鼠标左键）。</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240"/>
        <w:spacing w:line="252" w:lineRule="auto"/>
        <w:rPr>
          <w:rFonts w:hint="eastAsia" w:ascii="宋体" w:hAnsi="宋体" w:cs="宋体"/>
          <w:b/>
          <w:bCs/>
          <w:color w:val="auto"/>
          <w:sz w:val="24"/>
          <w:szCs w:val="24"/>
        </w:rPr>
      </w:pPr>
      <w:r>
        <w:rPr>
          <w:rFonts w:hint="eastAsia" w:hAnsi="宋体" w:cs="宋体"/>
          <w:color w:val="auto"/>
          <w:sz w:val="24"/>
          <w:szCs w:val="24"/>
        </w:rPr>
        <w:t xml:space="preserve">  </w:t>
      </w:r>
      <w:r>
        <w:rPr>
          <w:rFonts w:hint="eastAsia" w:ascii="宋体" w:hAnsi="宋体" w:cs="宋体"/>
          <w:b/>
          <w:bCs/>
          <w:color w:val="auto"/>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auto"/>
          <w:sz w:val="24"/>
          <w:szCs w:val="24"/>
          <w:lang w:val="zh-CN"/>
        </w:rPr>
        <w:t xml:space="preserve">通过邮寄方式送达</w:t>
      </w:r>
      <w:r>
        <w:rPr>
          <w:rFonts w:hint="eastAsia" w:ascii="宋体" w:hAnsi="宋体" w:cs="宋体"/>
          <w:b/>
          <w:bCs/>
          <w:color w:val="auto"/>
          <w:sz w:val="24"/>
          <w:szCs w:val="24"/>
        </w:rPr>
        <w:t xml:space="preserve">采购人，由采购人负责答复。</w:t>
      </w:r>
      <w:r/>
    </w:p>
    <w:p>
      <w:pPr>
        <w:ind w:firstLine="482"/>
        <w:spacing w:line="252" w:lineRule="auto"/>
        <w:rPr>
          <w:rFonts w:hint="eastAsia" w:ascii="宋体" w:hAnsi="宋体" w:cs="宋体"/>
          <w:color w:val="auto"/>
          <w:sz w:val="24"/>
          <w:szCs w:val="24"/>
        </w:rPr>
      </w:pPr>
      <w:r>
        <w:rPr>
          <w:rFonts w:hint="eastAsia" w:ascii="宋体" w:hAnsi="宋体" w:cs="宋体"/>
          <w:b/>
          <w:bCs/>
          <w:color w:val="auto"/>
          <w:sz w:val="24"/>
          <w:szCs w:val="24"/>
        </w:rPr>
        <w:t xml:space="preserve">对采购过程、采购结果的询问或质疑向交易中心提出，《质疑函》原件</w:t>
      </w:r>
      <w:r>
        <w:rPr>
          <w:rFonts w:hint="eastAsia" w:ascii="宋体" w:hAnsi="宋体" w:cs="宋体"/>
          <w:b/>
          <w:bCs/>
          <w:color w:val="auto"/>
          <w:sz w:val="24"/>
          <w:szCs w:val="24"/>
          <w:lang w:val="zh-CN"/>
        </w:rPr>
        <w:t xml:space="preserve">通过邮寄方式送达</w:t>
      </w:r>
      <w:r>
        <w:rPr>
          <w:rFonts w:hint="eastAsia" w:ascii="宋体" w:hAnsi="宋体" w:cs="宋体"/>
          <w:b/>
          <w:bCs/>
          <w:color w:val="auto"/>
          <w:sz w:val="24"/>
          <w:szCs w:val="24"/>
        </w:rPr>
        <w:t xml:space="preserve">交易中心，由交易中心负责答复。</w:t>
      </w:r>
      <w:r/>
    </w:p>
    <w:p>
      <w:pPr>
        <w:pStyle w:val="844"/>
        <w:rPr>
          <w:color w:val="auto"/>
        </w:rPr>
      </w:pPr>
      <w:r>
        <w:rPr>
          <w:color w:val="auto"/>
        </w:rPr>
      </w:r>
      <w:r/>
    </w:p>
    <w:p>
      <w:pPr>
        <w:pStyle w:val="965"/>
        <w:ind w:firstLine="465"/>
        <w:spacing w:before="145" w:after="145" w:line="264"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名  称：南京市鼓楼区教育局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址：南京市鼓楼区下关大厦12楼</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联系人：万老师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联系电话：025-83230037 </w:t>
      </w:r>
      <w:bookmarkStart w:id="40" w:name="_Toc28359086"/>
      <w:r/>
      <w:bookmarkStart w:id="41" w:name="_Toc28359009"/>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2.交易中心</w:t>
      </w:r>
      <w:bookmarkEnd w:id="40"/>
      <w:r/>
      <w:bookmarkEnd w:id="41"/>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地　址：南京市建邺区江东中路265号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s="宋体"/>
          <w:color w:val="auto"/>
          <w:sz w:val="24"/>
          <w:szCs w:val="24"/>
        </w:rPr>
        <w:t xml:space="preserve">邹丹</w:t>
      </w:r>
      <w:r>
        <w:rPr>
          <w:rFonts w:hint="eastAsia" w:ascii="宋体" w:hAnsi="宋体"/>
          <w:color w:val="auto"/>
          <w:sz w:val="24"/>
          <w:szCs w:val="24"/>
        </w:rPr>
        <w:t xml:space="preserve">                             </w:t>
      </w:r>
      <w:r/>
    </w:p>
    <w:p>
      <w:pPr>
        <w:ind w:firstLine="480"/>
        <w:spacing w:line="264" w:lineRule="auto"/>
        <w:rPr>
          <w:color w:val="auto"/>
        </w:rPr>
      </w:pPr>
      <w:r>
        <w:rPr>
          <w:rFonts w:hint="eastAsia" w:ascii="宋体" w:hAnsi="宋体"/>
          <w:color w:val="auto"/>
          <w:sz w:val="24"/>
          <w:szCs w:val="24"/>
        </w:rPr>
        <w:t xml:space="preserve">联系电话：</w:t>
      </w:r>
      <w:r>
        <w:rPr>
          <w:rFonts w:hint="eastAsia" w:ascii="宋体" w:hAnsi="宋体" w:cs="宋体"/>
          <w:color w:val="auto"/>
          <w:sz w:val="24"/>
          <w:szCs w:val="24"/>
        </w:rPr>
        <w:t xml:space="preserve">025-68505810 </w:t>
      </w:r>
      <w:r/>
    </w:p>
    <w:p>
      <w:pPr>
        <w:ind w:firstLine="480"/>
        <w:rPr>
          <w:rFonts w:hint="eastAsia" w:ascii="宋体" w:hAnsi="宋体" w:cs="宋体"/>
          <w:color w:val="auto"/>
          <w:sz w:val="24"/>
          <w:szCs w:val="24"/>
        </w:rPr>
      </w:pPr>
      <w:r>
        <w:rPr>
          <w:rFonts w:hint="eastAsia" w:ascii="宋体" w:hAnsi="宋体" w:cs="宋体"/>
          <w:color w:val="auto"/>
          <w:sz w:val="24"/>
          <w:szCs w:val="24"/>
        </w:rPr>
      </w:r>
      <w:r/>
    </w:p>
    <w:p>
      <w:pPr>
        <w:ind w:right="840"/>
        <w:jc w:val="center"/>
        <w:rPr>
          <w:rFonts w:ascii="方正小标宋简体" w:hAnsi="方正小标宋简体" w:eastAsia="方正小标宋简体" w:cs="方正小标宋简体"/>
          <w:color w:val="auto"/>
          <w:sz w:val="36"/>
          <w:szCs w:val="36"/>
        </w:rPr>
      </w:pPr>
      <w:r>
        <w:rPr>
          <w:rFonts w:ascii="宋体" w:hAnsi="宋体"/>
          <w:color w:val="auto"/>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auto"/>
          <w:sz w:val="36"/>
          <w:szCs w:val="36"/>
        </w:rPr>
        <w:t xml:space="preserve">第二章  </w:t>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auto"/>
          <w:sz w:val="36"/>
          <w:szCs w:val="36"/>
        </w:rPr>
        <w:t xml:space="preserve">投标人须知</w:t>
      </w:r>
      <w:bookmarkEnd w:id="43"/>
      <w:r/>
      <w:bookmarkEnd w:id="44"/>
      <w:r/>
      <w:bookmarkEnd w:id="45"/>
      <w:r/>
      <w:bookmarkEnd w:id="46"/>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bookmarkStart w:id="47" w:name="_Toc20823275"/>
      <w:r/>
      <w:bookmarkStart w:id="48" w:name="_Toc16938519"/>
      <w:r/>
      <w:bookmarkStart w:id="49" w:name="_Toc513029203"/>
      <w:r/>
      <w:bookmarkStart w:id="50" w:name="_Toc120614214"/>
      <w:r/>
      <w:bookmarkStart w:id="51" w:name="_Toc20823314"/>
      <w:r/>
      <w:bookmarkStart w:id="52" w:name="_Toc16938558"/>
      <w:r/>
      <w:bookmarkStart w:id="53" w:name="_Toc513029242"/>
      <w:r/>
      <w:bookmarkStart w:id="54" w:name="_Toc120614221"/>
      <w:r/>
      <w:bookmarkStart w:id="55" w:name="_Toc479757207"/>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967"/>
        <w:ind w:firstLine="420"/>
        <w:spacing w:before="0" w:after="0" w:line="240" w:lineRule="auto"/>
        <w:rPr>
          <w:rFonts w:ascii="方正楷体_GBK" w:hAnsi="方正楷体_GBK" w:eastAsia="方正楷体_GBK" w:cs="方正楷体_GBK"/>
          <w:color w:val="auto"/>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color w:val="auto"/>
        </w:rPr>
        <w:t xml:space="preserve">1</w:t>
      </w:r>
      <w:bookmarkEnd w:id="57"/>
      <w:r>
        <w:rPr>
          <w:rFonts w:hint="eastAsia" w:ascii="方正楷体_GBK" w:hAnsi="方正楷体_GBK" w:eastAsia="方正楷体_GBK" w:cs="方正楷体_GBK"/>
          <w:color w:val="auto"/>
        </w:rPr>
        <w:t xml:space="preserve">.招标方式</w:t>
      </w:r>
      <w:bookmarkEnd w:id="58"/>
      <w:r/>
      <w:bookmarkEnd w:id="59"/>
      <w:r/>
      <w:bookmarkEnd w:id="60"/>
      <w:r/>
      <w:r/>
    </w:p>
    <w:p>
      <w:pPr>
        <w:ind w:firstLine="420"/>
        <w:rPr>
          <w:rFonts w:hint="eastAsia"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967"/>
        <w:ind w:firstLine="420"/>
        <w:spacing w:before="0" w:after="0" w:line="240" w:lineRule="auto"/>
        <w:rPr>
          <w:rFonts w:ascii="方正楷体_GBK" w:hAnsi="方正楷体_GBK" w:eastAsia="方正楷体_GBK" w:cs="方正楷体_GBK"/>
          <w:color w:val="auto"/>
        </w:rPr>
      </w:pPr>
      <w:r/>
      <w:bookmarkStart w:id="61" w:name="_Toc16938521"/>
      <w:r/>
      <w:bookmarkStart w:id="62" w:name="_Toc513029205"/>
      <w:r/>
      <w:bookmarkStart w:id="63" w:name="_Toc20823277"/>
      <w:r>
        <w:rPr>
          <w:rFonts w:hint="eastAsia" w:ascii="方正楷体_GBK" w:hAnsi="方正楷体_GBK" w:eastAsia="方正楷体_GBK" w:cs="方正楷体_GBK"/>
          <w:color w:val="auto"/>
        </w:rPr>
        <w:t xml:space="preserve">2.合格的投标人</w:t>
      </w:r>
      <w:bookmarkEnd w:id="61"/>
      <w:r/>
      <w:bookmarkEnd w:id="62"/>
      <w:r/>
      <w:bookmarkEnd w:id="63"/>
      <w:r/>
      <w:r/>
    </w:p>
    <w:p>
      <w:pPr>
        <w:ind w:firstLine="420"/>
        <w:rPr>
          <w:rFonts w:hint="eastAsia" w:ascii="宋体" w:hAnsi="宋体"/>
          <w:color w:val="auto"/>
          <w:sz w:val="24"/>
        </w:rPr>
      </w:pPr>
      <w:r>
        <w:rPr>
          <w:rFonts w:hint="eastAsia" w:ascii="宋体" w:hAnsi="宋体"/>
          <w:color w:val="auto"/>
          <w:sz w:val="24"/>
        </w:rPr>
        <w:t xml:space="preserve">2.1 满足招标公告对供应商资格要求的规定。</w:t>
      </w:r>
      <w:r/>
    </w:p>
    <w:p>
      <w:pPr>
        <w:ind w:firstLine="420"/>
        <w:rPr>
          <w:rFonts w:hint="eastAsia" w:ascii="宋体" w:hAnsi="宋体"/>
          <w:color w:val="auto"/>
          <w:sz w:val="24"/>
        </w:rPr>
      </w:pPr>
      <w:r>
        <w:rPr>
          <w:rFonts w:hint="eastAsia" w:ascii="宋体" w:hAnsi="宋体"/>
          <w:color w:val="auto"/>
          <w:sz w:val="24"/>
        </w:rPr>
        <w:t xml:space="preserve">2.2 满足招标文件规定的实质性要求和条件。</w:t>
      </w:r>
      <w:r/>
    </w:p>
    <w:p>
      <w:pPr>
        <w:pStyle w:val="967"/>
        <w:ind w:firstLine="420"/>
        <w:spacing w:before="0" w:after="0" w:line="240" w:lineRule="auto"/>
        <w:rPr>
          <w:rFonts w:ascii="方正楷体_GBK" w:hAnsi="方正楷体_GBK" w:eastAsia="方正楷体_GBK" w:cs="方正楷体_GBK"/>
          <w:color w:val="auto"/>
        </w:rPr>
      </w:pPr>
      <w:r/>
      <w:bookmarkStart w:id="64" w:name="_Toc16938522"/>
      <w:r/>
      <w:bookmarkStart w:id="65" w:name="_Toc20823278"/>
      <w:r/>
      <w:bookmarkStart w:id="66" w:name="_Toc513029206"/>
      <w:r>
        <w:rPr>
          <w:rFonts w:hint="eastAsia" w:ascii="方正楷体_GBK" w:hAnsi="方正楷体_GBK" w:eastAsia="方正楷体_GBK" w:cs="方正楷体_GBK"/>
          <w:color w:val="auto"/>
        </w:rPr>
        <w:t xml:space="preserve">3.适用法律</w:t>
      </w:r>
      <w:bookmarkEnd w:id="64"/>
      <w:r/>
      <w:bookmarkEnd w:id="65"/>
      <w:r/>
      <w:bookmarkEnd w:id="66"/>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967"/>
        <w:ind w:firstLine="420"/>
        <w:spacing w:before="0" w:after="0" w:line="240" w:lineRule="auto"/>
        <w:rPr>
          <w:rFonts w:ascii="方正楷体_GBK" w:hAnsi="方正楷体_GBK" w:eastAsia="方正楷体_GBK" w:cs="方正楷体_GBK"/>
          <w:color w:val="auto"/>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color w:val="auto"/>
        </w:rPr>
        <w:t xml:space="preserve">4.投标费用</w:t>
      </w:r>
      <w:bookmarkEnd w:id="67"/>
      <w:r/>
      <w:bookmarkEnd w:id="68"/>
      <w:r/>
      <w:bookmarkEnd w:id="69"/>
      <w:r/>
      <w:bookmarkEnd w:id="70"/>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rPr>
          <w:rFonts w:hint="eastAsia"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bookmarkStart w:id="71" w:name="_Toc16938525"/>
      <w:r/>
      <w:bookmarkStart w:id="72" w:name="_Toc513029209"/>
      <w:r/>
      <w:bookmarkStart w:id="73" w:name="_Toc120614215"/>
      <w:r/>
      <w:bookmarkStart w:id="74" w:name="_Toc20823281"/>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967"/>
        <w:ind w:firstLine="420"/>
        <w:spacing w:before="0" w:after="0" w:line="240" w:lineRule="auto"/>
        <w:rPr>
          <w:rFonts w:ascii="方正楷体_GBK" w:hAnsi="方正楷体_GBK" w:eastAsia="方正楷体_GBK" w:cs="方正楷体_GBK"/>
          <w:color w:val="auto"/>
        </w:rPr>
      </w:pPr>
      <w:r/>
      <w:bookmarkStart w:id="75" w:name="_Toc513029210"/>
      <w:r/>
      <w:bookmarkStart w:id="76" w:name="_Toc20823282"/>
      <w:r/>
      <w:bookmarkStart w:id="77" w:name="_Toc16938526"/>
      <w:r>
        <w:rPr>
          <w:rFonts w:hint="eastAsia" w:ascii="方正楷体_GBK" w:hAnsi="方正楷体_GBK" w:eastAsia="方正楷体_GBK" w:cs="方正楷体_GBK"/>
          <w:color w:val="auto"/>
        </w:rPr>
        <w:t xml:space="preserve">6.招标文件构成</w:t>
      </w:r>
      <w:bookmarkEnd w:id="75"/>
      <w:r/>
      <w:bookmarkEnd w:id="76"/>
      <w:r/>
      <w:bookmarkEnd w:id="77"/>
      <w:r/>
      <w:r/>
    </w:p>
    <w:p>
      <w:pPr>
        <w:ind w:firstLine="420"/>
        <w:rPr>
          <w:rFonts w:hint="eastAsia" w:ascii="宋体" w:hAnsi="宋体"/>
          <w:color w:val="auto"/>
          <w:sz w:val="24"/>
        </w:rPr>
      </w:pPr>
      <w:r>
        <w:rPr>
          <w:rFonts w:hint="eastAsia" w:ascii="宋体" w:hAnsi="宋体"/>
          <w:color w:val="auto"/>
          <w:sz w:val="24"/>
        </w:rPr>
        <w:t xml:space="preserve">6.1 招标文件由以下部分组成：</w:t>
      </w:r>
      <w:r/>
    </w:p>
    <w:p>
      <w:pPr>
        <w:ind w:firstLine="420"/>
        <w:rPr>
          <w:rFonts w:hint="eastAsia" w:ascii="宋体" w:hAnsi="宋体"/>
          <w:color w:val="auto"/>
          <w:sz w:val="24"/>
        </w:rPr>
      </w:pPr>
      <w:r>
        <w:rPr>
          <w:rFonts w:hint="eastAsia" w:ascii="宋体" w:hAnsi="宋体"/>
          <w:color w:val="auto"/>
          <w:sz w:val="24"/>
        </w:rPr>
        <w:t xml:space="preserve">（1）投标邀请</w:t>
      </w:r>
      <w:r/>
    </w:p>
    <w:p>
      <w:pPr>
        <w:ind w:firstLine="420"/>
        <w:rPr>
          <w:rFonts w:hint="eastAsia" w:ascii="宋体" w:hAnsi="宋体"/>
          <w:color w:val="auto"/>
          <w:sz w:val="24"/>
        </w:rPr>
      </w:pPr>
      <w:r>
        <w:rPr>
          <w:rFonts w:hint="eastAsia" w:ascii="宋体" w:hAnsi="宋体"/>
          <w:color w:val="auto"/>
          <w:sz w:val="24"/>
        </w:rPr>
        <w:t xml:space="preserve">（2）投标人须知</w:t>
      </w:r>
      <w:r/>
    </w:p>
    <w:p>
      <w:pPr>
        <w:ind w:firstLine="420"/>
        <w:rPr>
          <w:rFonts w:hint="eastAsia" w:ascii="宋体" w:hAnsi="宋体"/>
          <w:color w:val="auto"/>
          <w:sz w:val="24"/>
        </w:rPr>
      </w:pPr>
      <w:r>
        <w:rPr>
          <w:rFonts w:hint="eastAsia" w:ascii="宋体" w:hAnsi="宋体"/>
          <w:color w:val="auto"/>
          <w:sz w:val="24"/>
        </w:rPr>
        <w:t xml:space="preserve">（3）合同文本</w:t>
      </w:r>
      <w:r/>
    </w:p>
    <w:p>
      <w:pPr>
        <w:ind w:firstLine="420"/>
        <w:rPr>
          <w:rFonts w:hint="eastAsia" w:ascii="宋体" w:hAnsi="宋体"/>
          <w:color w:val="auto"/>
          <w:sz w:val="24"/>
        </w:rPr>
      </w:pPr>
      <w:r>
        <w:rPr>
          <w:rFonts w:hint="eastAsia" w:ascii="宋体" w:hAnsi="宋体"/>
          <w:color w:val="auto"/>
          <w:sz w:val="24"/>
        </w:rPr>
        <w:t xml:space="preserve">（4）采购需求</w:t>
      </w:r>
      <w:r/>
    </w:p>
    <w:p>
      <w:pPr>
        <w:ind w:firstLine="420"/>
        <w:rPr>
          <w:rFonts w:hint="eastAsia" w:ascii="宋体" w:hAnsi="宋体"/>
          <w:color w:val="auto"/>
          <w:sz w:val="24"/>
        </w:rPr>
      </w:pPr>
      <w:r>
        <w:rPr>
          <w:rFonts w:hint="eastAsia" w:ascii="宋体" w:hAnsi="宋体"/>
          <w:color w:val="auto"/>
          <w:sz w:val="24"/>
        </w:rPr>
        <w:t xml:space="preserve">（5）评标方法与评标标准</w:t>
      </w:r>
      <w:r/>
    </w:p>
    <w:p>
      <w:pPr>
        <w:ind w:firstLine="420"/>
        <w:rPr>
          <w:rFonts w:hint="eastAsia" w:ascii="宋体" w:hAnsi="宋体"/>
          <w:color w:val="auto"/>
          <w:sz w:val="24"/>
        </w:rPr>
      </w:pPr>
      <w:r>
        <w:rPr>
          <w:rFonts w:hint="eastAsia" w:ascii="宋体" w:hAnsi="宋体"/>
          <w:color w:val="auto"/>
          <w:sz w:val="24"/>
        </w:rPr>
        <w:t xml:space="preserve">（6）投标文件格式</w:t>
      </w:r>
      <w:r/>
    </w:p>
    <w:p>
      <w:pPr>
        <w:ind w:firstLine="420"/>
        <w:rPr>
          <w:rFonts w:hint="eastAsia" w:ascii="宋体" w:hAnsi="宋体"/>
          <w:color w:val="auto"/>
          <w:sz w:val="24"/>
        </w:rPr>
      </w:pPr>
      <w:r>
        <w:rPr>
          <w:rFonts w:hint="eastAsia" w:ascii="宋体" w:hAnsi="宋体"/>
          <w:color w:val="auto"/>
          <w:sz w:val="24"/>
        </w:rPr>
        <w:t xml:space="preserve">投标人应仔细检查招标文件是否齐全，如有缺漏请立即与交易中心联系。</w:t>
      </w:r>
      <w:r/>
    </w:p>
    <w:p>
      <w:pPr>
        <w:ind w:firstLine="420"/>
        <w:rPr>
          <w:rFonts w:hint="eastAsia"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7"/>
        <w:ind w:firstLine="420"/>
        <w:spacing w:before="0" w:after="0" w:line="240" w:lineRule="auto"/>
        <w:rPr>
          <w:rFonts w:ascii="方正楷体_GBK" w:hAnsi="方正楷体_GBK" w:eastAsia="方正楷体_GBK" w:cs="方正楷体_GBK"/>
          <w:color w:val="auto"/>
        </w:rPr>
      </w:pPr>
      <w:r/>
      <w:bookmarkStart w:id="78" w:name="_Toc462564070"/>
      <w:r/>
      <w:bookmarkStart w:id="79" w:name="_Toc513029211"/>
      <w:r/>
      <w:bookmarkStart w:id="80" w:name="_Toc20823283"/>
      <w:r/>
      <w:bookmarkStart w:id="81" w:name="_Toc16938527"/>
      <w:r>
        <w:rPr>
          <w:rFonts w:hint="eastAsia" w:ascii="方正楷体_GBK" w:hAnsi="方正楷体_GBK" w:eastAsia="方正楷体_GBK" w:cs="方正楷体_GBK"/>
          <w:color w:val="auto"/>
        </w:rPr>
        <w:t xml:space="preserve">7.招标文件的澄清</w:t>
      </w:r>
      <w:bookmarkEnd w:id="78"/>
      <w:r/>
      <w:bookmarkEnd w:id="79"/>
      <w:r/>
      <w:bookmarkEnd w:id="80"/>
      <w:r/>
      <w:bookmarkEnd w:id="81"/>
      <w:r/>
      <w:r/>
    </w:p>
    <w:p>
      <w:pPr>
        <w:ind w:firstLine="420"/>
        <w:rPr>
          <w:rFonts w:hint="eastAsia" w:ascii="宋体" w:hAnsi="宋体"/>
          <w:color w:val="auto"/>
          <w:sz w:val="24"/>
        </w:rPr>
      </w:pPr>
      <w:r>
        <w:rPr>
          <w:rFonts w:hint="eastAsia" w:ascii="宋体" w:hAnsi="宋体"/>
          <w:color w:val="auto"/>
          <w:sz w:val="24"/>
        </w:rPr>
        <w:t xml:space="preserve">7.1 任何要求对招标文件进行澄清的投标人，应在投标截止期十日前按招标公告中的通讯地址，以书面形式通知交易中心。</w:t>
      </w:r>
      <w:r/>
    </w:p>
    <w:p>
      <w:pPr>
        <w:pStyle w:val="967"/>
        <w:ind w:firstLine="420"/>
        <w:spacing w:before="0" w:after="0" w:line="240" w:lineRule="auto"/>
        <w:rPr>
          <w:rFonts w:ascii="方正楷体_GBK" w:hAnsi="方正楷体_GBK" w:eastAsia="方正楷体_GBK" w:cs="方正楷体_GBK"/>
          <w:color w:val="auto"/>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color w:val="auto"/>
        </w:rPr>
        <w:t xml:space="preserve">8.招标文件的修改</w:t>
      </w:r>
      <w:bookmarkEnd w:id="82"/>
      <w:r/>
      <w:bookmarkEnd w:id="83"/>
      <w:r/>
      <w:bookmarkEnd w:id="84"/>
      <w:r/>
      <w:bookmarkEnd w:id="85"/>
      <w:r/>
      <w:r/>
    </w:p>
    <w:p>
      <w:pPr>
        <w:ind w:firstLine="420"/>
        <w:rPr>
          <w:rFonts w:hint="eastAsia" w:ascii="宋体" w:hAnsi="宋体"/>
          <w:color w:val="auto"/>
          <w:sz w:val="24"/>
        </w:rPr>
      </w:pPr>
      <w:r/>
      <w:bookmarkStart w:id="86" w:name="_Toc462564072"/>
      <w:r/>
      <w:bookmarkStart w:id="87" w:name="_Toc20823285"/>
      <w:r/>
      <w:bookmarkStart w:id="88" w:name="_Toc120614216"/>
      <w:r/>
      <w:bookmarkStart w:id="89" w:name="_Toc513029213"/>
      <w:r/>
      <w:bookmarkStart w:id="90" w:name="_Toc16938529"/>
      <w:r>
        <w:rPr>
          <w:rFonts w:hint="eastAsia" w:ascii="宋体" w:hAnsi="宋体"/>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rPr>
      </w:pPr>
      <w:r>
        <w:rPr>
          <w:rFonts w:hint="eastAsia" w:ascii="宋体" w:hAnsi="宋体"/>
          <w:color w:val="auto"/>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rPr>
      </w:pPr>
      <w:r>
        <w:rPr>
          <w:rFonts w:hint="eastAsia" w:ascii="宋体" w:hAnsi="宋体"/>
          <w:color w:val="auto"/>
          <w:sz w:val="24"/>
        </w:rPr>
        <w:t xml:space="preserve">8.3 交易中心有权按照法定的要求推迟投标截止日期和开标日期，并在原公告媒体发布更正公告。</w:t>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967"/>
        <w:ind w:firstLine="420"/>
        <w:spacing w:before="0" w:after="0" w:line="240" w:lineRule="auto"/>
        <w:rPr>
          <w:rFonts w:ascii="方正楷体_GBK" w:hAnsi="方正楷体_GBK" w:eastAsia="方正楷体_GBK" w:cs="方正楷体_GBK"/>
          <w:color w:val="auto"/>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color w:val="auto"/>
        </w:rPr>
        <w:t xml:space="preserve">9.投标文件的语言及度量衡单位</w:t>
      </w:r>
      <w:bookmarkEnd w:id="91"/>
      <w:r/>
      <w:bookmarkEnd w:id="92"/>
      <w:r/>
      <w:bookmarkEnd w:id="93"/>
      <w:r/>
      <w:bookmarkEnd w:id="94"/>
      <w:r/>
      <w:r/>
    </w:p>
    <w:p>
      <w:pPr>
        <w:ind w:firstLine="420"/>
        <w:rPr>
          <w:rFonts w:hint="eastAsia" w:ascii="宋体" w:hAnsi="宋体"/>
          <w:color w:val="auto"/>
          <w:sz w:val="24"/>
        </w:rPr>
      </w:pPr>
      <w:r>
        <w:rPr>
          <w:rFonts w:hint="eastAsia" w:ascii="宋体" w:hAnsi="宋体"/>
          <w:color w:val="auto"/>
          <w:sz w:val="24"/>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rPr>
      </w:pPr>
      <w:r>
        <w:rPr>
          <w:rFonts w:hint="eastAsia" w:ascii="宋体" w:hAnsi="宋体"/>
          <w:color w:val="auto"/>
          <w:sz w:val="24"/>
        </w:rPr>
        <w:t xml:space="preserve">9.2 除技术性能另有规定外，投标文件所使用的度量衡单位，均须采用国家法定计量单位。</w:t>
      </w:r>
      <w:r/>
    </w:p>
    <w:p>
      <w:pPr>
        <w:pStyle w:val="967"/>
        <w:ind w:firstLine="420"/>
        <w:spacing w:before="0" w:after="0" w:line="240" w:lineRule="auto"/>
        <w:rPr>
          <w:rFonts w:ascii="方正楷体_GBK" w:hAnsi="方正楷体_GBK" w:eastAsia="方正楷体_GBK" w:cs="方正楷体_GBK"/>
          <w:color w:val="auto"/>
        </w:rPr>
      </w:pPr>
      <w:r/>
      <w:bookmarkStart w:id="95" w:name="_Toc16938531"/>
      <w:r/>
      <w:bookmarkStart w:id="96" w:name="_Toc513029215"/>
      <w:r/>
      <w:bookmarkStart w:id="97" w:name="_Toc462564074"/>
      <w:r/>
      <w:bookmarkStart w:id="98" w:name="_Toc20823287"/>
      <w:r>
        <w:rPr>
          <w:rFonts w:hint="eastAsia" w:ascii="方正楷体_GBK" w:hAnsi="方正楷体_GBK" w:eastAsia="方正楷体_GBK" w:cs="方正楷体_GBK"/>
          <w:color w:val="auto"/>
        </w:rPr>
        <w:t xml:space="preserve">10.投标文件构成</w:t>
      </w:r>
      <w:bookmarkEnd w:id="95"/>
      <w:r/>
      <w:bookmarkEnd w:id="96"/>
      <w:r/>
      <w:bookmarkEnd w:id="97"/>
      <w:r/>
      <w:bookmarkEnd w:id="98"/>
      <w:r/>
      <w:r/>
    </w:p>
    <w:p>
      <w:pPr>
        <w:ind w:firstLine="420"/>
        <w:rPr>
          <w:rFonts w:hint="eastAsia" w:ascii="宋体" w:hAnsi="宋体"/>
          <w:color w:val="auto"/>
          <w:sz w:val="24"/>
        </w:rPr>
      </w:pPr>
      <w:r>
        <w:rPr>
          <w:rFonts w:hint="eastAsia" w:ascii="宋体" w:hAnsi="宋体"/>
          <w:color w:val="auto"/>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rPr>
      </w:pPr>
      <w:r>
        <w:rPr>
          <w:rFonts w:hint="eastAsia" w:ascii="宋体" w:hAnsi="宋体"/>
          <w:color w:val="auto"/>
          <w:sz w:val="24"/>
        </w:rPr>
        <w:t xml:space="preserve">10.2 如标书制作工具中格式和内容与“江苏政府采购网”发布的招标文件不一致，以“江苏政府采购网”发布的招标文件为准。</w:t>
      </w:r>
      <w:r/>
    </w:p>
    <w:p>
      <w:pPr>
        <w:pStyle w:val="967"/>
        <w:ind w:firstLine="420"/>
        <w:spacing w:before="0" w:after="0" w:line="240" w:lineRule="auto"/>
        <w:rPr>
          <w:rFonts w:ascii="方正楷体_GBK" w:hAnsi="方正楷体_GBK" w:eastAsia="方正楷体_GBK" w:cs="方正楷体_GBK"/>
          <w:color w:val="auto"/>
        </w:rPr>
      </w:pPr>
      <w:r/>
      <w:bookmarkStart w:id="99" w:name="_Hlt26668975"/>
      <w:r/>
      <w:bookmarkEnd w:id="99"/>
      <w:r/>
      <w:bookmarkStart w:id="100" w:name="_Hlt26670360"/>
      <w:r/>
      <w:bookmarkEnd w:id="100"/>
      <w:r/>
      <w:bookmarkStart w:id="101" w:name="_Hlt26954838"/>
      <w:r/>
      <w:bookmarkEnd w:id="101"/>
      <w:r/>
      <w:bookmarkStart w:id="102" w:name="_Toc49090507"/>
      <w:r/>
      <w:bookmarkStart w:id="103" w:name="_Toc49090509"/>
      <w:r/>
      <w:bookmarkStart w:id="104" w:name="_Toc513029219"/>
      <w:r/>
      <w:bookmarkStart w:id="105" w:name="_Toc513029216"/>
      <w:r/>
      <w:bookmarkStart w:id="106" w:name="_Toc14577357"/>
      <w:r/>
      <w:bookmarkStart w:id="107" w:name="_Toc14577354"/>
      <w:r>
        <w:rPr>
          <w:rFonts w:hint="eastAsia" w:ascii="方正楷体_GBK" w:hAnsi="方正楷体_GBK" w:eastAsia="方正楷体_GBK" w:cs="方正楷体_GBK"/>
          <w:color w:val="auto"/>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auto"/>
          <w:sz w:val="24"/>
        </w:rPr>
      </w:pPr>
      <w:r/>
      <w:bookmarkStart w:id="108" w:name="_Toc14577355"/>
      <w:r/>
      <w:bookmarkStart w:id="109" w:name="_Toc49090508"/>
      <w:r>
        <w:rPr>
          <w:rFonts w:hint="eastAsia" w:ascii="宋体" w:hAnsi="宋体"/>
          <w:color w:val="auto"/>
          <w:sz w:val="24"/>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rPr>
      </w:pPr>
      <w:r>
        <w:rPr>
          <w:rFonts w:hint="eastAsia" w:ascii="宋体" w:hAnsi="宋体"/>
          <w:color w:val="auto"/>
          <w:sz w:val="24"/>
        </w:rPr>
        <w:t xml:space="preserve">11.2 招标文件对证明文件无明确形式要求的，证明文件可以以文字资料、图纸和数据等形式提交。</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12.投标分项报价</w:t>
      </w:r>
      <w:bookmarkEnd w:id="108"/>
      <w:r/>
      <w:bookmarkStart w:id="110" w:name="_Hlt26670373"/>
      <w:r/>
      <w:bookmarkEnd w:id="110"/>
      <w:r>
        <w:rPr>
          <w:rFonts w:hint="eastAsia" w:ascii="方正楷体_GBK" w:hAnsi="方正楷体_GBK" w:eastAsia="方正楷体_GBK" w:cs="方正楷体_GBK"/>
          <w:color w:val="auto"/>
        </w:rPr>
        <w:t xml:space="preserve">表</w:t>
      </w:r>
      <w:bookmarkEnd w:id="109"/>
      <w:r>
        <w:rPr>
          <w:rFonts w:hint="eastAsia" w:ascii="方正楷体_GBK" w:hAnsi="方正楷体_GBK" w:eastAsia="方正楷体_GBK" w:cs="方正楷体_GBK"/>
          <w:color w:val="auto"/>
        </w:rPr>
        <w:t xml:space="preserve">（如有）</w:t>
      </w:r>
      <w:r/>
    </w:p>
    <w:p>
      <w:pPr>
        <w:ind w:firstLine="420"/>
        <w:rPr>
          <w:rFonts w:hint="eastAsia" w:ascii="宋体" w:hAnsi="宋体"/>
          <w:color w:val="auto"/>
          <w:sz w:val="24"/>
        </w:rPr>
      </w:pPr>
      <w:r>
        <w:rPr>
          <w:rFonts w:hint="eastAsia" w:ascii="宋体" w:hAnsi="宋体"/>
          <w:color w:val="auto"/>
          <w:sz w:val="24"/>
        </w:rPr>
        <w:t xml:space="preserve">12.1 投</w:t>
      </w:r>
      <w:bookmarkStart w:id="111" w:name="_Hlt26954840"/>
      <w:r/>
      <w:bookmarkEnd w:id="111"/>
      <w:r>
        <w:rPr>
          <w:rFonts w:hint="eastAsia" w:ascii="宋体" w:hAnsi="宋体"/>
          <w:color w:val="auto"/>
          <w:sz w:val="24"/>
        </w:rPr>
        <w:t xml:space="preserve">标人应按照招标文件规定格式填报投标分项报价表</w:t>
      </w:r>
      <w:bookmarkStart w:id="112" w:name="_Hlt26670399"/>
      <w:r/>
      <w:bookmarkEnd w:id="112"/>
      <w:r>
        <w:rPr>
          <w:rFonts w:hint="eastAsia" w:ascii="宋体" w:hAnsi="宋体"/>
          <w:color w:val="auto"/>
          <w:sz w:val="24"/>
        </w:rPr>
        <w:t xml:space="preserve">。</w:t>
      </w:r>
      <w:r/>
    </w:p>
    <w:p>
      <w:pPr>
        <w:ind w:firstLine="420"/>
        <w:rPr>
          <w:rFonts w:hint="eastAsia" w:ascii="宋体" w:hAnsi="宋体"/>
          <w:color w:val="auto"/>
          <w:sz w:val="24"/>
        </w:rPr>
      </w:pPr>
      <w:r>
        <w:rPr>
          <w:rFonts w:hint="eastAsia" w:ascii="宋体" w:hAnsi="宋体"/>
          <w:color w:val="auto"/>
          <w:sz w:val="24"/>
        </w:rPr>
        <w:t xml:space="preserve">12.2 投标文件中的单价和总价无特殊规定的采用人民币报价，以元为单位标注。招标文件另有规定的按规定执行。</w:t>
      </w:r>
      <w:r/>
    </w:p>
    <w:p>
      <w:pPr>
        <w:pStyle w:val="967"/>
        <w:ind w:firstLine="420"/>
        <w:spacing w:before="0" w:after="0" w:line="240" w:lineRule="auto"/>
        <w:rPr>
          <w:rFonts w:ascii="方正楷体_GBK" w:hAnsi="方正楷体_GBK" w:eastAsia="方正楷体_GBK" w:cs="方正楷体_GBK"/>
          <w:color w:val="auto"/>
        </w:rPr>
      </w:pPr>
      <w:r/>
      <w:bookmarkStart w:id="113" w:name="_Hlt26954844"/>
      <w:r/>
      <w:bookmarkEnd w:id="113"/>
      <w:r/>
      <w:bookmarkStart w:id="114" w:name="_Hlt26670482"/>
      <w:r/>
      <w:bookmarkEnd w:id="114"/>
      <w:r/>
      <w:bookmarkStart w:id="115" w:name="_Hlt26670425"/>
      <w:r/>
      <w:bookmarkEnd w:id="115"/>
      <w:r/>
      <w:bookmarkStart w:id="116" w:name="_Hlt26954846"/>
      <w:r/>
      <w:bookmarkEnd w:id="116"/>
      <w:r/>
      <w:bookmarkStart w:id="117" w:name="_Hlt26670486"/>
      <w:r/>
      <w:bookmarkEnd w:id="117"/>
      <w:r/>
      <w:bookmarkStart w:id="118" w:name="_Hlt26954731"/>
      <w:r/>
      <w:bookmarkEnd w:id="118"/>
      <w:r/>
      <w:bookmarkStart w:id="119" w:name="_Hlt26954842"/>
      <w:r/>
      <w:bookmarkEnd w:id="119"/>
      <w:r/>
      <w:bookmarkStart w:id="120" w:name="_Hlt26670403"/>
      <w:r/>
      <w:bookmarkEnd w:id="120"/>
      <w:r/>
      <w:bookmarkStart w:id="121" w:name="_Hlt26668983"/>
      <w:r/>
      <w:bookmarkEnd w:id="121"/>
      <w:r/>
      <w:bookmarkStart w:id="122" w:name="_Hlt26954848"/>
      <w:r/>
      <w:bookmarkEnd w:id="122"/>
      <w:r>
        <w:rPr>
          <w:rFonts w:hint="eastAsia" w:ascii="方正楷体_GBK" w:hAnsi="方正楷体_GBK" w:eastAsia="方正楷体_GBK" w:cs="方正楷体_GBK"/>
          <w:color w:val="auto"/>
        </w:rPr>
        <w:t xml:space="preserve">13.响应及偏离表</w:t>
      </w:r>
      <w:r/>
    </w:p>
    <w:p>
      <w:pPr>
        <w:ind w:firstLine="420"/>
        <w:rPr>
          <w:rFonts w:hint="eastAsia" w:ascii="宋体" w:hAnsi="宋体"/>
          <w:color w:val="auto"/>
          <w:sz w:val="24"/>
          <w:lang w:val="zh-CN"/>
        </w:rPr>
      </w:pPr>
      <w:r>
        <w:rPr>
          <w:rFonts w:hint="eastAsia" w:ascii="宋体" w:hAnsi="宋体"/>
          <w:color w:val="auto"/>
          <w:sz w:val="24"/>
          <w:lang w:val="zh-CN"/>
        </w:rPr>
        <w:t xml:space="preserve">13.1 投标人需对招标文件中的技术要求与商务要求逐项作出响应或偏离说明。</w:t>
      </w:r>
      <w:r/>
    </w:p>
    <w:p>
      <w:pPr>
        <w:ind w:firstLine="420"/>
        <w:rPr>
          <w:rFonts w:hint="eastAsia" w:ascii="宋体" w:hAnsi="宋体"/>
          <w:color w:val="auto"/>
          <w:sz w:val="24"/>
          <w:lang w:val="zh-CN"/>
        </w:rPr>
      </w:pPr>
      <w:r>
        <w:rPr>
          <w:rFonts w:hint="eastAsia" w:ascii="宋体" w:hAnsi="宋体"/>
          <w:color w:val="auto"/>
          <w:sz w:val="24"/>
          <w:lang w:val="zh-CN"/>
        </w:rPr>
        <w:t xml:space="preserve">13.2 投标人可以在投标文件中提供认为需要的其他技术文件或说明。</w:t>
      </w:r>
      <w:r/>
    </w:p>
    <w:p>
      <w:pPr>
        <w:pStyle w:val="967"/>
        <w:ind w:firstLine="420"/>
        <w:spacing w:before="0" w:after="0" w:line="240" w:lineRule="auto"/>
        <w:rPr>
          <w:rFonts w:ascii="方正楷体_GBK" w:hAnsi="方正楷体_GBK" w:eastAsia="方正楷体_GBK" w:cs="方正楷体_GBK"/>
          <w:color w:val="auto"/>
        </w:rPr>
      </w:pPr>
      <w:r/>
      <w:bookmarkStart w:id="123" w:name="_Toc14577359"/>
      <w:r/>
      <w:bookmarkStart w:id="124" w:name="_Toc49090510"/>
      <w:r>
        <w:rPr>
          <w:rFonts w:hint="eastAsia" w:ascii="方正楷体_GBK" w:hAnsi="方正楷体_GBK" w:eastAsia="方正楷体_GBK" w:cs="方正楷体_GBK"/>
          <w:color w:val="auto"/>
        </w:rPr>
        <w:t xml:space="preserve">14.投标函和开标一览表及核心产品品牌一览表</w:t>
      </w:r>
      <w:r/>
    </w:p>
    <w:p>
      <w:pPr>
        <w:ind w:firstLine="420"/>
        <w:rPr>
          <w:rFonts w:hint="eastAsia" w:ascii="宋体" w:hAnsi="宋体"/>
          <w:color w:val="auto"/>
          <w:sz w:val="24"/>
          <w:lang w:val="zh-CN"/>
        </w:rPr>
      </w:pPr>
      <w:r>
        <w:rPr>
          <w:rFonts w:hint="eastAsia" w:ascii="宋体" w:hAnsi="宋体"/>
          <w:color w:val="auto"/>
          <w:sz w:val="24"/>
          <w:lang w:val="zh-CN"/>
        </w:rPr>
        <w:t xml:space="preserve">14.1 投标人应按照招标文件规定格式完整、正确填报投标函、开标一览表及核心产品品牌一览表。</w:t>
      </w:r>
      <w:r/>
    </w:p>
    <w:p>
      <w:pPr>
        <w:ind w:firstLine="420"/>
        <w:rPr>
          <w:rFonts w:hint="eastAsia" w:ascii="宋体" w:hAnsi="宋体"/>
          <w:color w:val="auto"/>
          <w:sz w:val="24"/>
          <w:lang w:val="zh-CN"/>
        </w:rPr>
      </w:pPr>
      <w:r>
        <w:rPr>
          <w:rFonts w:hint="eastAsia" w:ascii="宋体" w:hAnsi="宋体"/>
          <w:color w:val="auto"/>
          <w:sz w:val="24"/>
          <w:lang w:val="zh-CN"/>
        </w:rPr>
        <w:t xml:space="preserve">14.2 对于采用货币报价的项目，开标一览表中的投标总报价应与投标分项报价表中的投标总报价一致，如不一致评标时</w:t>
      </w:r>
      <w:r>
        <w:rPr>
          <w:rFonts w:hint="eastAsia" w:ascii="宋体" w:hAnsi="宋体"/>
          <w:color w:val="auto"/>
          <w:sz w:val="24"/>
        </w:rPr>
        <w:t xml:space="preserve">以</w:t>
      </w:r>
      <w:r>
        <w:rPr>
          <w:rFonts w:hint="eastAsia" w:ascii="宋体" w:hAnsi="宋体"/>
          <w:color w:val="auto"/>
          <w:sz w:val="24"/>
          <w:lang w:val="zh-CN"/>
        </w:rPr>
        <w:t xml:space="preserve">开标一览表中价格为准。</w:t>
      </w:r>
      <w:r/>
    </w:p>
    <w:p>
      <w:pPr>
        <w:ind w:firstLine="420"/>
        <w:rPr>
          <w:rFonts w:hint="eastAsia" w:ascii="宋体" w:hAnsi="宋体"/>
          <w:color w:val="auto"/>
          <w:sz w:val="24"/>
          <w:lang w:val="zh-CN"/>
        </w:rPr>
      </w:pPr>
      <w:r>
        <w:rPr>
          <w:rFonts w:hint="eastAsia" w:ascii="宋体" w:hAnsi="宋体"/>
          <w:color w:val="auto"/>
          <w:sz w:val="24"/>
          <w:lang w:val="zh-CN"/>
        </w:rPr>
        <w:t xml:space="preserve">14.3 核心产品品牌一览表中所投核心产品品牌缺项的将视为无效投标。</w:t>
      </w:r>
      <w:bookmarkEnd w:id="123"/>
      <w:r/>
      <w:bookmarkEnd w:id="124"/>
      <w:r/>
      <w:r/>
    </w:p>
    <w:p>
      <w:pPr>
        <w:pStyle w:val="967"/>
        <w:ind w:firstLine="420"/>
        <w:spacing w:before="0" w:after="0" w:line="240" w:lineRule="auto"/>
        <w:rPr>
          <w:rFonts w:ascii="方正楷体_GBK" w:hAnsi="方正楷体_GBK" w:eastAsia="方正楷体_GBK" w:cs="方正楷体_GBK"/>
          <w:color w:val="auto"/>
        </w:rPr>
      </w:pPr>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color w:val="auto"/>
        </w:rPr>
        <w:t xml:space="preserve">15.投标有效期</w:t>
      </w:r>
      <w:bookmarkEnd w:id="128"/>
      <w:r/>
      <w:bookmarkEnd w:id="129"/>
      <w:r/>
      <w:r/>
    </w:p>
    <w:p>
      <w:pPr>
        <w:ind w:firstLine="420"/>
        <w:rPr>
          <w:rFonts w:hint="eastAsia" w:ascii="宋体" w:hAnsi="宋体"/>
          <w:color w:val="auto"/>
          <w:sz w:val="24"/>
          <w:lang w:val="zh-CN"/>
        </w:rPr>
      </w:pPr>
      <w:r>
        <w:rPr>
          <w:rFonts w:hint="eastAsia" w:ascii="宋体" w:hAnsi="宋体"/>
          <w:color w:val="auto"/>
          <w:sz w:val="24"/>
          <w:lang w:val="zh-CN"/>
        </w:rPr>
        <w:t xml:space="preserve">15.1 投标有效期为</w:t>
      </w:r>
      <w:r>
        <w:rPr>
          <w:rFonts w:hint="eastAsia" w:ascii="宋体" w:hAnsi="宋体"/>
          <w:color w:val="auto"/>
          <w:sz w:val="24"/>
        </w:rPr>
        <w:t xml:space="preserve">招标公告</w:t>
      </w:r>
      <w:r>
        <w:rPr>
          <w:rFonts w:hint="eastAsia" w:ascii="宋体" w:hAnsi="宋体"/>
          <w:color w:val="auto"/>
          <w:sz w:val="24"/>
          <w:lang w:val="zh-CN"/>
        </w:rPr>
        <w:t xml:space="preserve">规定的开标之日</w:t>
      </w:r>
      <w:r>
        <w:rPr>
          <w:rFonts w:hint="eastAsia" w:ascii="宋体" w:hAnsi="宋体"/>
          <w:color w:val="auto"/>
          <w:sz w:val="24"/>
        </w:rPr>
        <w:t xml:space="preserve">起</w:t>
      </w:r>
      <w:r>
        <w:rPr>
          <w:rFonts w:hint="eastAsia" w:ascii="宋体" w:hAnsi="宋体"/>
          <w:color w:val="auto"/>
          <w:sz w:val="24"/>
          <w:lang w:val="zh-CN"/>
        </w:rPr>
        <w:t xml:space="preserve">六十天。投标有效期比规定短的将被视为未实质性响应招标文件而</w:t>
      </w:r>
      <w:r>
        <w:rPr>
          <w:rFonts w:hint="eastAsia" w:ascii="宋体" w:hAnsi="宋体"/>
          <w:color w:val="auto"/>
          <w:sz w:val="24"/>
        </w:rPr>
        <w:t xml:space="preserve">被</w:t>
      </w:r>
      <w:r>
        <w:rPr>
          <w:rFonts w:hint="eastAsia" w:ascii="宋体" w:hAnsi="宋体"/>
          <w:color w:val="auto"/>
          <w:sz w:val="24"/>
          <w:lang w:val="zh-CN"/>
        </w:rPr>
        <w:t xml:space="preserve">拒绝。</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16.投标有效期的延长</w:t>
      </w:r>
      <w:r/>
    </w:p>
    <w:p>
      <w:pPr>
        <w:ind w:firstLine="420"/>
        <w:rPr>
          <w:rFonts w:hint="eastAsia" w:ascii="宋体" w:hAnsi="宋体"/>
          <w:color w:val="auto"/>
          <w:sz w:val="24"/>
          <w:lang w:val="zh-CN"/>
        </w:rPr>
      </w:pPr>
      <w:r>
        <w:rPr>
          <w:rFonts w:hint="eastAsia" w:ascii="宋体" w:hAnsi="宋体"/>
          <w:color w:val="auto"/>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bookmarkStart w:id="130" w:name="_Hlt26954852"/>
      <w:r/>
      <w:bookmarkEnd w:id="130"/>
      <w:r/>
      <w:bookmarkStart w:id="131" w:name="_Hlt26954739"/>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967"/>
        <w:ind w:firstLine="420"/>
        <w:spacing w:before="0" w:after="0" w:line="240" w:lineRule="auto"/>
        <w:rPr>
          <w:rFonts w:ascii="方正楷体_GBK" w:hAnsi="方正楷体_GBK" w:eastAsia="方正楷体_GBK" w:cs="方正楷体_GBK"/>
          <w:color w:val="auto"/>
        </w:rPr>
      </w:pPr>
      <w:r/>
      <w:bookmarkStart w:id="136" w:name="_Toc462564084"/>
      <w:r/>
      <w:bookmarkStart w:id="137" w:name="_Toc16938541"/>
      <w:r/>
      <w:bookmarkStart w:id="138" w:name="_Toc20823297"/>
      <w:r/>
      <w:bookmarkStart w:id="139" w:name="_Toc513029225"/>
      <w:r>
        <w:rPr>
          <w:rFonts w:hint="eastAsia" w:ascii="方正楷体_GBK" w:hAnsi="方正楷体_GBK" w:eastAsia="方正楷体_GBK" w:cs="方正楷体_GBK"/>
          <w:color w:val="auto"/>
        </w:rPr>
        <w:t xml:space="preserve">17.投标文件</w:t>
      </w:r>
      <w:bookmarkEnd w:id="136"/>
      <w:r/>
      <w:bookmarkEnd w:id="137"/>
      <w:r/>
      <w:bookmarkEnd w:id="138"/>
      <w:r/>
      <w:bookmarkEnd w:id="139"/>
      <w:r>
        <w:rPr>
          <w:rFonts w:hint="eastAsia" w:ascii="方正楷体_GBK" w:hAnsi="方正楷体_GBK" w:eastAsia="方正楷体_GBK" w:cs="方正楷体_GBK"/>
          <w:color w:val="auto"/>
        </w:rPr>
        <w:t xml:space="preserve">的递交</w:t>
      </w:r>
      <w:r/>
    </w:p>
    <w:p>
      <w:pPr>
        <w:ind w:firstLine="420"/>
        <w:rPr>
          <w:rFonts w:hint="eastAsia" w:ascii="宋体" w:hAnsi="宋体"/>
          <w:color w:val="auto"/>
          <w:sz w:val="24"/>
          <w:lang w:val="zh-CN"/>
        </w:rPr>
      </w:pPr>
      <w:r>
        <w:rPr>
          <w:rFonts w:hint="eastAsia" w:ascii="宋体" w:hAnsi="宋体"/>
          <w:color w:val="auto"/>
          <w:sz w:val="24"/>
          <w:lang w:val="zh-CN"/>
        </w:rPr>
        <w:t xml:space="preserve">17.1 投标人应当按照《操作手册》规定，在招标公告规定的投标截止时间前制作并上传电子投标文件。</w:t>
      </w:r>
      <w:bookmarkStart w:id="140" w:name="_Toc513029226"/>
      <w:r/>
      <w:bookmarkEnd w:id="140"/>
      <w:r/>
      <w:bookmarkStart w:id="141" w:name="_Toc20823298"/>
      <w:r/>
      <w:bookmarkEnd w:id="141"/>
      <w:r/>
      <w:bookmarkStart w:id="142" w:name="_Toc16938542"/>
      <w:r/>
      <w:bookmarkEnd w:id="142"/>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5</w:t>
      </w:r>
      <w:r>
        <w:rPr>
          <w:rFonts w:hint="eastAsia" w:ascii="宋体" w:hAnsi="宋体"/>
          <w:color w:val="auto"/>
          <w:sz w:val="24"/>
          <w:lang w:val="zh-CN"/>
        </w:rPr>
        <w:t xml:space="preserve">.1条规定做无效投标处理。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967"/>
        <w:ind w:firstLine="420"/>
        <w:spacing w:before="0" w:after="0" w:line="240" w:lineRule="auto"/>
        <w:rPr>
          <w:rFonts w:ascii="方正楷体_GBK" w:hAnsi="方正楷体_GBK" w:eastAsia="方正楷体_GBK" w:cs="方正楷体_GBK"/>
          <w:color w:val="auto"/>
        </w:rPr>
      </w:pPr>
      <w:r/>
      <w:bookmarkStart w:id="143" w:name="_Toc513029227"/>
      <w:r/>
      <w:bookmarkStart w:id="144" w:name="_Toc20823299"/>
      <w:r/>
      <w:bookmarkStart w:id="145" w:name="_Toc16938543"/>
      <w:r>
        <w:rPr>
          <w:rFonts w:hint="eastAsia" w:ascii="方正楷体_GBK" w:hAnsi="方正楷体_GBK" w:eastAsia="方正楷体_GBK" w:cs="方正楷体_GBK"/>
          <w:color w:val="auto"/>
        </w:rPr>
        <w:t xml:space="preserve">18.投标文件</w:t>
      </w:r>
      <w:bookmarkEnd w:id="143"/>
      <w:r/>
      <w:bookmarkEnd w:id="144"/>
      <w:r/>
      <w:bookmarkEnd w:id="145"/>
      <w:r>
        <w:rPr>
          <w:rFonts w:hint="eastAsia" w:ascii="方正楷体_GBK" w:hAnsi="方正楷体_GBK" w:eastAsia="方正楷体_GBK" w:cs="方正楷体_GBK"/>
          <w:color w:val="auto"/>
        </w:rPr>
        <w:t xml:space="preserve">的拒收</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8</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投标截止时间后上传的任何投标文件将被拒绝。</w:t>
      </w:r>
      <w:r/>
    </w:p>
    <w:p>
      <w:pPr>
        <w:pStyle w:val="967"/>
        <w:ind w:firstLine="420"/>
        <w:spacing w:before="0" w:after="0" w:line="240" w:lineRule="auto"/>
        <w:rPr>
          <w:rFonts w:ascii="方正楷体_GBK" w:hAnsi="方正楷体_GBK" w:eastAsia="方正楷体_GBK" w:cs="方正楷体_GBK"/>
          <w:color w:val="auto"/>
        </w:rPr>
      </w:pPr>
      <w:r/>
      <w:bookmarkStart w:id="146" w:name="_Toc16938544"/>
      <w:r/>
      <w:bookmarkStart w:id="147" w:name="_Toc513029228"/>
      <w:r/>
      <w:bookmarkStart w:id="148" w:name="_Toc20823300"/>
      <w:r>
        <w:rPr>
          <w:rFonts w:hint="eastAsia" w:ascii="方正楷体_GBK" w:hAnsi="方正楷体_GBK" w:eastAsia="方正楷体_GBK" w:cs="方正楷体_GBK"/>
          <w:color w:val="auto"/>
        </w:rPr>
        <w:t xml:space="preserve">19.投标文件的撤回和修改</w:t>
      </w:r>
      <w:bookmarkEnd w:id="146"/>
      <w:r/>
      <w:bookmarkEnd w:id="147"/>
      <w:r/>
      <w:bookmarkEnd w:id="148"/>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 投标文件的撤回</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投标人可在投标截止时间前撤回其电子投标文件，具体操作方法见《操作手册》。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投标人撤回电子投标文件，则认为其不再参与本项目投标活动。</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 投标文件的修改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投标人可在投标截止时间前对其电子投标文件进行修改，具体操作方法见《操作手册》。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投标截止时间之后，投标人不得对其电子投标文件作任何修改。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.3 在投标截止时间至招标文件中规定的投标有效期满之间的这段时间内，投标人不得撤回其投标。</w:t>
      </w:r>
      <w:bookmarkStart w:id="149" w:name="_Toc120614218"/>
      <w:r/>
      <w:bookmarkStart w:id="150" w:name="_Toc20823301"/>
      <w:r/>
      <w:bookmarkStart w:id="151" w:name="_Toc513029229"/>
      <w:r/>
      <w:bookmarkStart w:id="152" w:name="_Toc16938545"/>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967"/>
        <w:ind w:firstLine="420"/>
        <w:spacing w:before="0" w:after="0" w:line="240" w:lineRule="auto"/>
        <w:rPr>
          <w:rFonts w:ascii="方正楷体_GBK" w:hAnsi="方正楷体_GBK" w:eastAsia="方正楷体_GBK" w:cs="方正楷体_GBK"/>
          <w:color w:val="auto"/>
        </w:rPr>
      </w:pPr>
      <w:r/>
      <w:bookmarkStart w:id="153" w:name="_Toc513029230"/>
      <w:r/>
      <w:bookmarkStart w:id="154" w:name="_Toc16938546"/>
      <w:r/>
      <w:bookmarkStart w:id="155" w:name="_Toc20823302"/>
      <w:r>
        <w:rPr>
          <w:rFonts w:hint="eastAsia" w:ascii="方正楷体_GBK" w:hAnsi="方正楷体_GBK" w:eastAsia="方正楷体_GBK" w:cs="方正楷体_GBK"/>
          <w:color w:val="auto"/>
        </w:rPr>
        <w:t xml:space="preserve">20.开标</w:t>
      </w:r>
      <w:bookmarkEnd w:id="153"/>
      <w:r/>
      <w:bookmarkEnd w:id="154"/>
      <w:r/>
      <w:bookmarkEnd w:id="155"/>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投标人在开标过程中涉及到的投标文件解密、开标结果确认等工作，应按照《操作手册》规定执行。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w:t>
      </w:r>
      <w:r>
        <w:rPr>
          <w:rFonts w:hint="eastAsia" w:ascii="宋体" w:hAnsi="宋体"/>
          <w:color w:val="auto"/>
          <w:sz w:val="24"/>
        </w:rPr>
        <w:t xml:space="preserve">结果</w:t>
      </w:r>
      <w:r>
        <w:rPr>
          <w:rFonts w:hint="eastAsia" w:ascii="宋体" w:hAnsi="宋体"/>
          <w:color w:val="auto"/>
          <w:sz w:val="24"/>
          <w:lang w:val="zh-CN"/>
        </w:rPr>
        <w:t xml:space="preserve">有疑义，应当根据《操作手册》规定提出，苏采云系统中《开标记录表》公布后5分钟内未提出的，视同认可开标结果。</w:t>
      </w:r>
      <w:r/>
    </w:p>
    <w:p>
      <w:pPr>
        <w:pStyle w:val="967"/>
        <w:ind w:firstLine="420"/>
        <w:spacing w:before="0" w:after="0" w:line="240" w:lineRule="auto"/>
        <w:rPr>
          <w:rFonts w:ascii="方正楷体_GBK" w:hAnsi="方正楷体_GBK" w:eastAsia="方正楷体_GBK" w:cs="方正楷体_GBK"/>
          <w:color w:val="auto"/>
        </w:rPr>
      </w:pPr>
      <w:r/>
      <w:bookmarkStart w:id="156" w:name="_Toc16938547"/>
      <w:r/>
      <w:bookmarkStart w:id="157" w:name="_Toc20823303"/>
      <w:r/>
      <w:bookmarkStart w:id="158" w:name="_Toc513029231"/>
      <w:r>
        <w:rPr>
          <w:rFonts w:hint="eastAsia" w:ascii="方正楷体_GBK" w:hAnsi="方正楷体_GBK" w:eastAsia="方正楷体_GBK" w:cs="方正楷体_GBK"/>
          <w:color w:val="auto"/>
        </w:rPr>
        <w:t xml:space="preserve">21.评标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 </w:t>
      </w:r>
      <w:r>
        <w:rPr>
          <w:rFonts w:hint="eastAsia" w:ascii="宋体" w:hAnsi="宋体"/>
          <w:color w:val="auto"/>
          <w:sz w:val="24"/>
        </w:rPr>
        <w:t xml:space="preserve">评标由依法组建的</w:t>
      </w:r>
      <w:r>
        <w:rPr>
          <w:rFonts w:hint="eastAsia" w:ascii="宋体" w:hAnsi="宋体"/>
          <w:color w:val="auto"/>
          <w:sz w:val="24"/>
          <w:lang w:val="zh-CN"/>
        </w:rPr>
        <w:t xml:space="preserve">评标委员会（以下简称“评委会”）进行。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 评委会由采购人代表和有关方面的专家组成，且人员构成符合政府采购有关规定。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22.评标过程的保密与公正</w:t>
      </w:r>
      <w:bookmarkEnd w:id="156"/>
      <w:r/>
      <w:bookmarkEnd w:id="157"/>
      <w:r/>
      <w:bookmarkEnd w:id="158"/>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投标人不得以任何</w:t>
      </w:r>
      <w:r>
        <w:rPr>
          <w:rFonts w:hint="eastAsia" w:ascii="宋体" w:hAnsi="宋体"/>
          <w:color w:val="auto"/>
          <w:sz w:val="24"/>
        </w:rPr>
        <w:t xml:space="preserve">方式</w:t>
      </w:r>
      <w:r>
        <w:rPr>
          <w:rFonts w:hint="eastAsia" w:ascii="宋体" w:hAnsi="宋体"/>
          <w:color w:val="auto"/>
          <w:sz w:val="24"/>
          <w:lang w:val="zh-CN"/>
        </w:rPr>
        <w:t xml:space="preserve">影响评标，否则其投标文件将被作为无效投标文件。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.4 采用综合评分法的项目，未中标的投标人可于中标结果公告期限届满之日起通过苏采云系统查看</w:t>
      </w:r>
      <w:r>
        <w:rPr>
          <w:rFonts w:hint="eastAsia" w:ascii="宋体" w:hAnsi="宋体"/>
          <w:color w:val="auto"/>
          <w:sz w:val="24"/>
        </w:rPr>
        <w:t xml:space="preserve">本单位</w:t>
      </w:r>
      <w:r>
        <w:rPr>
          <w:rFonts w:hint="eastAsia" w:ascii="宋体" w:hAnsi="宋体"/>
          <w:color w:val="auto"/>
          <w:sz w:val="24"/>
          <w:lang w:val="zh-CN"/>
        </w:rPr>
        <w:t xml:space="preserve">的评审得分及排</w:t>
      </w:r>
      <w:r>
        <w:rPr>
          <w:rFonts w:hint="eastAsia" w:ascii="宋体" w:hAnsi="宋体"/>
          <w:color w:val="auto"/>
          <w:sz w:val="24"/>
        </w:rPr>
        <w:t xml:space="preserve">名</w:t>
      </w:r>
      <w:r>
        <w:rPr>
          <w:rFonts w:hint="eastAsia" w:ascii="宋体" w:hAnsi="宋体"/>
          <w:color w:val="auto"/>
          <w:sz w:val="24"/>
          <w:lang w:val="zh-CN"/>
        </w:rPr>
        <w:t xml:space="preserve">情况。</w:t>
      </w:r>
      <w:r/>
    </w:p>
    <w:p>
      <w:pPr>
        <w:pStyle w:val="967"/>
        <w:ind w:firstLine="420"/>
        <w:spacing w:before="0" w:after="0" w:line="240" w:lineRule="auto"/>
        <w:rPr>
          <w:rFonts w:ascii="方正楷体_GBK" w:hAnsi="方正楷体_GBK" w:eastAsia="方正楷体_GBK" w:cs="方正楷体_GBK"/>
          <w:color w:val="auto"/>
        </w:rPr>
      </w:pPr>
      <w:r/>
      <w:bookmarkStart w:id="159" w:name="_Toc16938548"/>
      <w:r/>
      <w:bookmarkStart w:id="160" w:name="_Toc513029232"/>
      <w:r/>
      <w:bookmarkStart w:id="161" w:name="_Toc20823304"/>
      <w:r>
        <w:rPr>
          <w:rFonts w:hint="eastAsia" w:ascii="方正楷体_GBK" w:hAnsi="方正楷体_GBK" w:eastAsia="方正楷体_GBK" w:cs="方正楷体_GBK"/>
          <w:color w:val="auto"/>
        </w:rPr>
        <w:t xml:space="preserve">23.投标文件的澄清</w:t>
      </w:r>
      <w:bookmarkEnd w:id="159"/>
      <w:r/>
      <w:bookmarkEnd w:id="160"/>
      <w:r/>
      <w:bookmarkEnd w:id="161"/>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hint="eastAsia"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需要供应商进行澄清、说明和补正的，评委会将通过苏采云系统向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 接到评委会澄清、说明和补正要求的，投标人如未按规定</w:t>
      </w:r>
      <w:r>
        <w:rPr>
          <w:rFonts w:hint="eastAsia" w:ascii="宋体" w:hAnsi="宋体"/>
          <w:color w:val="auto"/>
          <w:sz w:val="24"/>
        </w:rPr>
        <w:t xml:space="preserve">作</w:t>
      </w:r>
      <w:r>
        <w:rPr>
          <w:rFonts w:hint="eastAsia" w:ascii="宋体" w:hAnsi="宋体"/>
          <w:color w:val="auto"/>
          <w:sz w:val="24"/>
          <w:lang w:val="zh-CN"/>
        </w:rPr>
        <w:t xml:space="preserve">出澄清、说明和补正，其风险由投标人自行承担。</w:t>
      </w:r>
      <w:r/>
    </w:p>
    <w:p>
      <w:pPr>
        <w:pStyle w:val="967"/>
        <w:ind w:firstLine="420"/>
        <w:spacing w:before="0" w:after="0" w:line="240" w:lineRule="auto"/>
        <w:rPr>
          <w:rFonts w:ascii="方正楷体_GBK" w:hAnsi="方正楷体_GBK" w:eastAsia="方正楷体_GBK" w:cs="方正楷体_GBK"/>
          <w:color w:val="auto"/>
        </w:rPr>
      </w:pPr>
      <w:r/>
      <w:bookmarkStart w:id="162" w:name="_Toc20823305"/>
      <w:r/>
      <w:bookmarkStart w:id="163" w:name="_Toc513029233"/>
      <w:r/>
      <w:bookmarkStart w:id="164" w:name="_Toc16938549"/>
      <w:r>
        <w:rPr>
          <w:rFonts w:hint="eastAsia" w:ascii="方正楷体_GBK" w:hAnsi="方正楷体_GBK" w:eastAsia="方正楷体_GBK" w:cs="方正楷体_GBK"/>
          <w:color w:val="auto"/>
        </w:rPr>
        <w:t xml:space="preserve">24.投标文件的</w:t>
      </w:r>
      <w:bookmarkEnd w:id="162"/>
      <w:r/>
      <w:bookmarkEnd w:id="163"/>
      <w:r/>
      <w:bookmarkEnd w:id="164"/>
      <w:r>
        <w:rPr>
          <w:rFonts w:hint="eastAsia" w:ascii="方正楷体_GBK" w:hAnsi="方正楷体_GBK" w:eastAsia="方正楷体_GBK" w:cs="方正楷体_GBK"/>
          <w:color w:val="auto"/>
        </w:rPr>
        <w:t xml:space="preserve">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投标文件审查分为资格审查和符合性审查。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资格审查。依据法律法规和招标文件规定，由采购人对投标文件中的资格证明文件进行审查，</w:t>
      </w:r>
      <w:r>
        <w:rPr>
          <w:rFonts w:hint="eastAsia" w:ascii="宋体" w:hAnsi="宋体"/>
          <w:color w:val="auto"/>
          <w:sz w:val="24"/>
        </w:rPr>
        <w:t xml:space="preserve">并</w:t>
      </w:r>
      <w:r>
        <w:rPr>
          <w:rFonts w:hint="eastAsia" w:ascii="宋体" w:hAnsi="宋体"/>
          <w:color w:val="auto"/>
          <w:sz w:val="24"/>
          <w:lang w:val="zh-CN"/>
        </w:rPr>
        <w:t xml:space="preserve">向评委会反馈</w:t>
      </w:r>
      <w:r>
        <w:rPr>
          <w:rFonts w:hint="eastAsia" w:ascii="宋体" w:hAnsi="宋体"/>
          <w:color w:val="auto"/>
          <w:sz w:val="24"/>
        </w:rPr>
        <w:t xml:space="preserve">审查结论</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符合性审查。依据招标文件的规定，由评委会从有效性、完整性和对招标文件的响应程度</w:t>
      </w:r>
      <w:r>
        <w:rPr>
          <w:rFonts w:hint="eastAsia" w:ascii="宋体" w:hAnsi="宋体"/>
          <w:color w:val="auto"/>
          <w:sz w:val="24"/>
        </w:rPr>
        <w:t xml:space="preserve">等方面对投标文件</w:t>
      </w:r>
      <w:r>
        <w:rPr>
          <w:rFonts w:hint="eastAsia" w:ascii="宋体" w:hAnsi="宋体"/>
          <w:color w:val="auto"/>
          <w:sz w:val="24"/>
          <w:lang w:val="zh-CN"/>
        </w:rPr>
        <w:t xml:space="preserve">进行审查，以确定是否对招标文件的实质性要求作出响应。</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未通过资格审查或符合性审查的投标人，交易中心将</w:t>
      </w:r>
      <w:r>
        <w:rPr>
          <w:rFonts w:hint="eastAsia" w:ascii="宋体" w:hAnsi="宋体"/>
          <w:color w:val="auto"/>
          <w:sz w:val="24"/>
        </w:rPr>
        <w:t xml:space="preserve">通过</w:t>
      </w:r>
      <w:r>
        <w:rPr>
          <w:rFonts w:hint="eastAsia" w:ascii="宋体" w:hAnsi="宋体"/>
          <w:color w:val="auto"/>
          <w:sz w:val="24"/>
          <w:lang w:val="zh-CN"/>
        </w:rPr>
        <w:t xml:space="preserve">苏采云系统告知</w:t>
      </w:r>
      <w:r>
        <w:rPr>
          <w:rFonts w:hint="eastAsia" w:ascii="宋体" w:hAnsi="宋体"/>
          <w:color w:val="auto"/>
          <w:sz w:val="24"/>
        </w:rPr>
        <w:t xml:space="preserve">其具体</w:t>
      </w:r>
      <w:r>
        <w:rPr>
          <w:rFonts w:hint="eastAsia" w:ascii="宋体" w:hAnsi="宋体"/>
          <w:color w:val="auto"/>
          <w:sz w:val="24"/>
          <w:lang w:val="zh-CN"/>
        </w:rPr>
        <w:t xml:space="preserve">原因，评标结束后</w:t>
      </w:r>
      <w:r>
        <w:rPr>
          <w:rFonts w:hint="eastAsia" w:ascii="宋体" w:hAnsi="宋体"/>
          <w:color w:val="auto"/>
          <w:sz w:val="24"/>
        </w:rPr>
        <w:t xml:space="preserve">不再接受有关询问</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评委会</w:t>
      </w:r>
      <w:r>
        <w:rPr>
          <w:rFonts w:hint="eastAsia" w:ascii="宋体" w:hAnsi="宋体"/>
          <w:color w:val="auto"/>
          <w:sz w:val="24"/>
        </w:rPr>
        <w:t xml:space="preserve">仅对</w:t>
      </w:r>
      <w:r>
        <w:rPr>
          <w:rFonts w:hint="eastAsia" w:ascii="宋体" w:hAnsi="宋体"/>
          <w:color w:val="auto"/>
          <w:sz w:val="24"/>
          <w:lang w:val="zh-CN"/>
        </w:rPr>
        <w:t xml:space="preserve">实质性响应招标文件要求</w:t>
      </w:r>
      <w:r>
        <w:rPr>
          <w:rFonts w:hint="eastAsia" w:ascii="宋体" w:hAnsi="宋体"/>
          <w:color w:val="auto"/>
          <w:sz w:val="24"/>
        </w:rPr>
        <w:t xml:space="preserve">的投标文件进行详细评审</w:t>
      </w:r>
      <w:r>
        <w:rPr>
          <w:rFonts w:hint="eastAsia" w:ascii="宋体" w:hAnsi="宋体"/>
          <w:color w:val="auto"/>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的权利或投标人的义务，纠正这些偏离或保留将会对其他实质性响应的投标人产生不公正的影响。重大偏离的认定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评委会</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少数服从多数的原则作出结论。评委</w:t>
      </w:r>
      <w:r>
        <w:rPr>
          <w:rFonts w:hint="eastAsia" w:ascii="宋体" w:hAnsi="宋体"/>
          <w:color w:val="auto"/>
          <w:sz w:val="24"/>
        </w:rPr>
        <w:t xml:space="preserve">会认</w:t>
      </w:r>
      <w:r>
        <w:rPr>
          <w:rFonts w:hint="eastAsia" w:ascii="宋体" w:hAnsi="宋体"/>
          <w:color w:val="auto"/>
          <w:sz w:val="24"/>
          <w:lang w:val="zh-CN"/>
        </w:rPr>
        <w:t xml:space="preserve">定投标文件的响应性只根据投标文件本身的内容，而不寻求外部的证据。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hint="eastAsia"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hint="eastAsia"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hint="eastAsia"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hint="eastAsia" w:ascii="宋体" w:hAnsi="宋体"/>
          <w:color w:val="auto"/>
          <w:sz w:val="24"/>
          <w:lang w:val="zh-CN"/>
        </w:rPr>
      </w:pPr>
      <w:r>
        <w:rPr>
          <w:rFonts w:hint="eastAsia" w:ascii="宋体" w:hAnsi="宋体"/>
          <w:color w:val="auto"/>
          <w:sz w:val="24"/>
          <w:lang w:val="zh-CN"/>
        </w:rPr>
        <w:t xml:space="preserve">同时出现两种以上错误的，按照前款规定的顺序修正。</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lang w:val="zh-CN"/>
        </w:rPr>
      </w:pPr>
      <w:r/>
      <w:bookmarkStart w:id="165" w:name="_Toc20823306"/>
      <w:r/>
      <w:bookmarkStart w:id="166" w:name="_Toc16938550"/>
      <w:r/>
      <w:bookmarkStart w:id="167" w:name="_Toc513029234"/>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.6</w:t>
      </w:r>
      <w:r>
        <w:rPr>
          <w:rFonts w:hint="eastAsia" w:ascii="宋体" w:hAnsi="宋体"/>
          <w:color w:val="auto"/>
          <w:sz w:val="24"/>
        </w:rPr>
        <w:t xml:space="preserve"> </w:t>
      </w:r>
      <w:r>
        <w:rPr>
          <w:rFonts w:hint="eastAsia" w:ascii="宋体" w:hAnsi="宋体"/>
          <w:color w:val="auto"/>
          <w:sz w:val="24"/>
          <w:lang w:val="zh-CN"/>
        </w:rPr>
        <w:t xml:space="preserve">投标人在开、评标全过程中应保持通讯畅通，及时登录苏采云系统查阅、答复相关信息，并安排专人与交易中心及评委会联系。</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65"/>
      <w:r/>
      <w:bookmarkEnd w:id="166"/>
      <w:r/>
      <w:bookmarkEnd w:id="167"/>
      <w:r>
        <w:rPr>
          <w:rFonts w:hint="eastAsia" w:ascii="方正楷体_GBK" w:hAnsi="方正楷体_GBK" w:eastAsia="方正楷体_GBK" w:cs="方正楷体_GBK"/>
          <w:color w:val="auto"/>
        </w:rPr>
        <w:t xml:space="preserve">5.无效投标和废标</w:t>
      </w:r>
      <w:r/>
    </w:p>
    <w:p>
      <w:pPr>
        <w:ind w:firstLine="420"/>
        <w:rPr>
          <w:rFonts w:hint="eastAsia" w:ascii="宋体" w:hAnsi="宋体"/>
          <w:color w:val="auto"/>
          <w:sz w:val="24"/>
          <w:lang w:val="zh-CN"/>
        </w:rPr>
      </w:pPr>
      <w:r/>
      <w:bookmarkStart w:id="168" w:name="_Toc20823307"/>
      <w:r/>
      <w:bookmarkStart w:id="169" w:name="_Toc513029235"/>
      <w:r/>
      <w:bookmarkStart w:id="170" w:name="_Toc16938551"/>
      <w:r/>
      <w:bookmarkStart w:id="171" w:name="_Toc120614219"/>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无效投标</w:t>
      </w:r>
      <w:r>
        <w:rPr>
          <w:rFonts w:hint="eastAsia" w:ascii="宋体" w:hAnsi="宋体"/>
          <w:color w:val="auto"/>
          <w:sz w:val="24"/>
        </w:rPr>
        <w:t xml:space="preserve">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投标人在苏采云系统规定的时间内未成功解密电子投标文件。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投标人未按照招标文件要求上传电子投标文件。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投标人不具备招标文件中规定资格要求。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.1.7</w:t>
      </w:r>
      <w:r>
        <w:rPr>
          <w:rFonts w:hint="eastAsia" w:ascii="宋体" w:hAnsi="宋体"/>
          <w:color w:val="auto"/>
          <w:sz w:val="24"/>
        </w:rPr>
        <w:t xml:space="preserve"> </w:t>
      </w:r>
      <w:r>
        <w:rPr>
          <w:rFonts w:hint="eastAsia" w:ascii="宋体" w:hAnsi="宋体"/>
          <w:color w:val="auto"/>
          <w:sz w:val="24"/>
          <w:lang w:val="zh-CN"/>
        </w:rPr>
        <w:t xml:space="preserve">不符合招标文件中实质性要求和条件（</w:t>
      </w:r>
      <w:r>
        <w:rPr>
          <w:rFonts w:hint="eastAsia" w:ascii="宋体" w:hAnsi="宋体"/>
          <w:b/>
          <w:bCs/>
          <w:color w:val="auto"/>
          <w:sz w:val="24"/>
          <w:lang w:val="zh-CN"/>
        </w:rPr>
        <w:t xml:space="preserve">本文件中斜体且有下划线部分，或者打“</w:t>
      </w:r>
      <w:r>
        <w:rPr>
          <w:rFonts w:hint="eastAsia" w:ascii="宋体" w:hAnsi="宋体"/>
          <w:b/>
          <w:bCs/>
          <w:color w:val="auto"/>
          <w:sz w:val="24"/>
        </w:rPr>
        <w:t xml:space="preserve">★</w:t>
      </w:r>
      <w:r>
        <w:rPr>
          <w:rFonts w:hint="eastAsia" w:ascii="宋体" w:hAnsi="宋体"/>
          <w:b/>
          <w:bCs/>
          <w:color w:val="auto"/>
          <w:sz w:val="24"/>
          <w:lang w:val="zh-CN"/>
        </w:rPr>
        <w:t xml:space="preserve">”内容为实质性要求和条件</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.1.8</w:t>
      </w:r>
      <w:r>
        <w:rPr>
          <w:rFonts w:hint="eastAsia" w:ascii="宋体" w:hAnsi="宋体"/>
          <w:color w:val="auto"/>
          <w:sz w:val="24"/>
        </w:rPr>
        <w:t xml:space="preserve"> </w:t>
      </w:r>
      <w:r>
        <w:rPr>
          <w:rFonts w:hint="eastAsia" w:ascii="宋体" w:hAns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.1.9</w:t>
      </w:r>
      <w:r>
        <w:rPr>
          <w:rFonts w:hint="eastAsia" w:ascii="宋体" w:hAnsi="宋体"/>
          <w:color w:val="auto"/>
          <w:sz w:val="24"/>
        </w:rPr>
        <w:t xml:space="preserve"> </w:t>
      </w:r>
      <w:r>
        <w:rPr>
          <w:rFonts w:hint="eastAsia" w:ascii="宋体" w:hAnsi="宋体"/>
          <w:color w:val="auto"/>
          <w:sz w:val="24"/>
          <w:lang w:val="zh-CN"/>
        </w:rPr>
        <w:t xml:space="preserve">投标文件含有采购人不能接受的附加条件。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.1.10</w:t>
      </w:r>
      <w:r>
        <w:rPr>
          <w:rFonts w:hint="eastAsia" w:ascii="宋体" w:hAnsi="宋体"/>
          <w:color w:val="auto"/>
          <w:sz w:val="24"/>
        </w:rPr>
        <w:t xml:space="preserve"> </w:t>
      </w:r>
      <w:r>
        <w:rPr>
          <w:rFonts w:hint="eastAsia" w:ascii="宋体" w:hAnsi="宋体"/>
          <w:color w:val="auto"/>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2 </w:t>
      </w:r>
      <w:r>
        <w:rPr>
          <w:rFonts w:hint="eastAsia" w:ascii="宋体" w:hAnsi="宋体"/>
          <w:color w:val="auto"/>
          <w:sz w:val="24"/>
          <w:lang w:val="zh-CN"/>
        </w:rPr>
        <w:t xml:space="preserve">投标文件未按照招标文件要求加盖电子公章。</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废标</w:t>
      </w:r>
      <w:r>
        <w:rPr>
          <w:rFonts w:hint="eastAsia" w:ascii="宋体" w:hAnsi="宋体"/>
          <w:color w:val="auto"/>
          <w:sz w:val="24"/>
        </w:rPr>
        <w:t xml:space="preserve">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符合资格条件的供应商或者对招标文件作实质响应的供应商不足三家。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.2.4</w:t>
      </w:r>
      <w:r>
        <w:rPr>
          <w:rFonts w:hint="eastAsia" w:ascii="宋体" w:hAnsi="宋体"/>
          <w:color w:val="auto"/>
          <w:sz w:val="24"/>
        </w:rPr>
        <w:t xml:space="preserve"> </w:t>
      </w:r>
      <w:r>
        <w:rPr>
          <w:rFonts w:hint="eastAsia" w:ascii="宋体" w:hAnsi="宋体"/>
          <w:color w:val="auto"/>
          <w:sz w:val="24"/>
          <w:lang w:val="zh-CN"/>
        </w:rPr>
        <w:t xml:space="preserve">评委会认定招标文件存在歧义、重大缺陷导致评审工作无法进行。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.2.5</w:t>
      </w:r>
      <w:r>
        <w:rPr>
          <w:rFonts w:hint="eastAsia" w:ascii="宋体" w:hAnsi="宋体"/>
          <w:color w:val="auto"/>
          <w:sz w:val="24"/>
        </w:rPr>
        <w:t xml:space="preserve"> </w:t>
      </w:r>
      <w:r>
        <w:rPr>
          <w:rFonts w:hint="eastAsia" w:ascii="宋体" w:hAnsi="宋体"/>
          <w:color w:val="auto"/>
          <w:sz w:val="24"/>
          <w:lang w:val="zh-CN"/>
        </w:rPr>
        <w:t xml:space="preserve">因苏采云系统故障造成开标不成功。</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.3 如出现投标截止时间后参加投标的供应商或者对招标文件作出实质</w:t>
      </w:r>
      <w:r>
        <w:rPr>
          <w:rFonts w:hint="eastAsia" w:ascii="宋体" w:hAnsi="宋体"/>
          <w:color w:val="auto"/>
          <w:sz w:val="24"/>
        </w:rPr>
        <w:t xml:space="preserve">性</w:t>
      </w:r>
      <w:r>
        <w:rPr>
          <w:rFonts w:hint="eastAsia" w:ascii="宋体" w:hAnsi="宋体"/>
          <w:color w:val="auto"/>
          <w:sz w:val="24"/>
          <w:lang w:val="zh-CN"/>
        </w:rPr>
        <w:t xml:space="preserve">响应的供应商不足三家</w:t>
      </w:r>
      <w:r>
        <w:rPr>
          <w:rFonts w:hint="eastAsia" w:ascii="宋体" w:hAnsi="宋体"/>
          <w:color w:val="auto"/>
          <w:sz w:val="24"/>
        </w:rPr>
        <w:t xml:space="preserve">的</w:t>
      </w:r>
      <w:r>
        <w:rPr>
          <w:rFonts w:hint="eastAsia" w:ascii="宋体" w:hAnsi="宋体"/>
          <w:color w:val="auto"/>
          <w:sz w:val="24"/>
          <w:lang w:val="zh-CN"/>
        </w:rPr>
        <w:t xml:space="preserve">情况，按政府采购相关规定执行。</w:t>
      </w:r>
      <w:r/>
    </w:p>
    <w:p>
      <w:pPr>
        <w:ind w:firstLine="480"/>
        <w:rPr>
          <w:color w:val="auto"/>
          <w:sz w:val="24"/>
          <w:lang w:val="zh-CN"/>
        </w:rPr>
      </w:pPr>
      <w:r>
        <w:rPr>
          <w:rFonts w:hint="eastAsia" w:ascii="宋体" w:hAnsi="宋体"/>
          <w:color w:val="auto"/>
          <w:sz w:val="24"/>
          <w:lang w:val="zh-CN"/>
        </w:rPr>
        <w:t xml:space="preserve">25.4 如出现25.2.1或25.3情形，招标活动失败，评审委员会应</w:t>
      </w:r>
      <w:r>
        <w:rPr>
          <w:rFonts w:hint="eastAsia" w:ascii="宋体" w:hAnsi="宋体"/>
          <w:color w:val="auto"/>
          <w:sz w:val="24"/>
          <w:lang w:val="zh-CN" w:bidi="ar"/>
        </w:rPr>
        <w:t xml:space="preserve">对招标文件是否存在不合理条款进行论证，并在评审报告中写明论证意见。</w:t>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rPr>
        <w:t xml:space="preserve">定标</w:t>
      </w:r>
      <w:bookmarkEnd w:id="171"/>
      <w:r/>
      <w:r/>
    </w:p>
    <w:p>
      <w:pPr>
        <w:pStyle w:val="967"/>
        <w:ind w:firstLine="420"/>
        <w:spacing w:before="0" w:after="0" w:line="240" w:lineRule="auto"/>
        <w:rPr>
          <w:rFonts w:ascii="方正楷体_GBK" w:hAnsi="方正楷体_GBK" w:eastAsia="方正楷体_GBK" w:cs="方正楷体_GBK"/>
          <w:color w:val="auto"/>
        </w:rPr>
      </w:pPr>
      <w:r/>
      <w:bookmarkStart w:id="172" w:name="_Toc513029238"/>
      <w:r/>
      <w:bookmarkStart w:id="173" w:name="_Toc20823310"/>
      <w:r/>
      <w:bookmarkStart w:id="174" w:name="_Toc16938554"/>
      <w:r>
        <w:rPr>
          <w:rFonts w:hint="eastAsia" w:ascii="方正楷体_GBK" w:hAnsi="方正楷体_GBK" w:eastAsia="方正楷体_GBK" w:cs="方正楷体_GBK"/>
          <w:color w:val="auto"/>
        </w:rPr>
        <w:t xml:space="preserve">2</w:t>
      </w:r>
      <w:bookmarkEnd w:id="172"/>
      <w:r>
        <w:rPr>
          <w:rFonts w:hint="eastAsia" w:ascii="方正楷体_GBK" w:hAnsi="方正楷体_GBK" w:eastAsia="方正楷体_GBK" w:cs="方正楷体_GBK"/>
          <w:color w:val="auto"/>
        </w:rPr>
        <w:t xml:space="preserve">6.确定</w:t>
      </w:r>
      <w:bookmarkEnd w:id="173"/>
      <w:r/>
      <w:bookmarkEnd w:id="174"/>
      <w:r>
        <w:rPr>
          <w:rFonts w:hint="eastAsia" w:ascii="方正楷体_GBK" w:hAnsi="方正楷体_GBK" w:eastAsia="方正楷体_GBK" w:cs="方正楷体_GBK"/>
          <w:color w:val="auto"/>
        </w:rPr>
        <w:t xml:space="preserve">中标单位</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hint="eastAsia"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.3 交易中心将在“江苏政府采购网”发布中标公告，公告期限为1个工作日。</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.4.1</w:t>
      </w:r>
      <w:r>
        <w:rPr>
          <w:rFonts w:hint="eastAsia" w:ascii="宋体" w:hAnsi="宋体"/>
          <w:color w:val="auto"/>
          <w:sz w:val="24"/>
        </w:rPr>
        <w:t xml:space="preserve"> </w:t>
      </w:r>
      <w:r>
        <w:rPr>
          <w:rFonts w:hint="eastAsia" w:ascii="宋体" w:hAnsi="宋体"/>
          <w:color w:val="auto"/>
          <w:sz w:val="24"/>
          <w:lang w:val="zh-CN"/>
        </w:rPr>
        <w:t xml:space="preserve">提供虚假材料谋取中标。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.4.2</w:t>
      </w:r>
      <w:r>
        <w:rPr>
          <w:rFonts w:hint="eastAsia" w:ascii="宋体" w:hAnsi="宋体"/>
          <w:color w:val="auto"/>
          <w:sz w:val="24"/>
        </w:rPr>
        <w:t xml:space="preserve"> </w:t>
      </w:r>
      <w:r>
        <w:rPr>
          <w:rFonts w:hint="eastAsia" w:ascii="宋体" w:hAnsi="宋体"/>
          <w:color w:val="auto"/>
          <w:sz w:val="24"/>
          <w:lang w:val="zh-CN"/>
        </w:rPr>
        <w:t xml:space="preserve">向评审专家、采购人或交易中心工作人员行贿或者提供其他不正当利益。</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.4.3</w:t>
      </w:r>
      <w:r>
        <w:rPr>
          <w:rFonts w:hint="eastAsia" w:ascii="宋体" w:hAnsi="宋体"/>
          <w:color w:val="auto"/>
          <w:sz w:val="24"/>
        </w:rPr>
        <w:t xml:space="preserve"> </w:t>
      </w:r>
      <w:r>
        <w:rPr>
          <w:rFonts w:hint="eastAsia" w:ascii="宋体" w:hAnsi="宋体"/>
          <w:color w:val="auto"/>
          <w:sz w:val="24"/>
          <w:lang w:val="zh-CN"/>
        </w:rPr>
        <w:t xml:space="preserve">与其他供应商、评审专家、采购人或交易中心工作人员恶意串通。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.4.4</w:t>
      </w:r>
      <w:r>
        <w:rPr>
          <w:rFonts w:hint="eastAsia" w:ascii="宋体" w:hAnsi="宋体"/>
          <w:color w:val="auto"/>
          <w:sz w:val="24"/>
        </w:rPr>
        <w:t xml:space="preserve"> </w:t>
      </w:r>
      <w:r>
        <w:rPr>
          <w:rFonts w:hint="eastAsia" w:ascii="宋体" w:hAnsi="宋体"/>
          <w:color w:val="auto"/>
          <w:sz w:val="24"/>
          <w:lang w:val="zh-CN"/>
        </w:rPr>
        <w:t xml:space="preserve">属于本文件规定的无效</w:t>
      </w:r>
      <w:r>
        <w:rPr>
          <w:rFonts w:hint="eastAsia" w:ascii="宋体" w:hAnsi="宋体"/>
          <w:color w:val="auto"/>
          <w:sz w:val="24"/>
        </w:rPr>
        <w:t xml:space="preserve">投标情形</w:t>
      </w:r>
      <w:r>
        <w:rPr>
          <w:rFonts w:hint="eastAsia" w:ascii="宋体" w:hAnsi="宋体"/>
          <w:color w:val="auto"/>
          <w:sz w:val="24"/>
          <w:lang w:val="zh-CN"/>
        </w:rPr>
        <w:t xml:space="preserve">，但在评标过程中未被评委会发现。</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.4.5</w:t>
      </w:r>
      <w:r>
        <w:rPr>
          <w:rFonts w:hint="eastAsia" w:ascii="宋体" w:hAnsi="宋体"/>
          <w:color w:val="auto"/>
          <w:sz w:val="24"/>
        </w:rPr>
        <w:t xml:space="preserve"> </w:t>
      </w:r>
      <w:r>
        <w:rPr>
          <w:rFonts w:hint="eastAsia" w:ascii="宋体" w:hAnsi="宋体"/>
          <w:color w:val="auto"/>
          <w:sz w:val="24"/>
          <w:lang w:val="zh-CN"/>
        </w:rPr>
        <w:t xml:space="preserve">采取不正当手段诋毁、排挤其他供应商。</w:t>
      </w:r>
      <w:r/>
    </w:p>
    <w:p>
      <w:pPr>
        <w:ind w:firstLine="420"/>
        <w:rPr>
          <w:rFonts w:hint="eastAsia" w:ascii="宋体" w:hAnsi="宋体"/>
          <w:b/>
          <w:bCs/>
          <w:color w:val="auto"/>
          <w:sz w:val="24"/>
          <w:lang w:val="zh-CN"/>
        </w:rPr>
      </w:pPr>
      <w:r/>
      <w:bookmarkStart w:id="175" w:name="_Toc200451960"/>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w:t>
      </w:r>
      <w:r>
        <w:rPr>
          <w:rFonts w:hint="eastAsia" w:ascii="宋体" w:hAnsi="宋体"/>
          <w:color w:val="auto"/>
          <w:sz w:val="24"/>
        </w:rPr>
        <w:t xml:space="preserve"> </w:t>
      </w:r>
      <w:r>
        <w:rPr>
          <w:rFonts w:hint="eastAsia" w:ascii="宋体" w:hAnsi="宋体"/>
          <w:b/>
          <w:bCs/>
          <w:color w:val="auto"/>
          <w:sz w:val="24"/>
          <w:lang w:val="zh-CN"/>
        </w:rPr>
        <w:t xml:space="preserve">有下列情形之一的视为投标人串通投标，投标无效：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.5.4</w:t>
      </w:r>
      <w:r>
        <w:rPr>
          <w:rFonts w:hint="eastAsia" w:ascii="宋体" w:hAnsi="宋体"/>
          <w:color w:val="auto"/>
          <w:sz w:val="24"/>
        </w:rPr>
        <w:t xml:space="preserve"> </w:t>
      </w:r>
      <w:r>
        <w:rPr>
          <w:rFonts w:hint="eastAsia" w:ascii="宋体" w:hAnsi="宋体"/>
          <w:color w:val="auto"/>
          <w:sz w:val="24"/>
          <w:lang w:val="zh-CN"/>
        </w:rPr>
        <w:t xml:space="preserve">不同投标人的投标文件异常一致或者投标报价呈规律性差异。</w:t>
      </w:r>
      <w:bookmarkEnd w:id="175"/>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27.中标通知书</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.l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hint="eastAsia"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bookmarkStart w:id="176" w:name="_Toc16938552"/>
      <w:r/>
      <w:bookmarkStart w:id="177" w:name="_Toc513029236"/>
      <w:r/>
      <w:bookmarkStart w:id="178" w:name="_Toc20823308"/>
      <w:r/>
      <w:bookmarkStart w:id="179" w:name="_Toc120614220"/>
      <w:r>
        <w:rPr>
          <w:rFonts w:hint="eastAsia" w:ascii="方正黑体_GBK" w:hAnsi="方正黑体_GBK" w:eastAsia="方正黑体_GBK" w:cs="方正黑体_GBK"/>
          <w:b w:val="0"/>
          <w:bCs w:val="0"/>
          <w:color w:val="auto"/>
          <w:sz w:val="30"/>
          <w:szCs w:val="30"/>
        </w:rPr>
        <w:t xml:space="preserve">七、授予合同</w:t>
      </w:r>
      <w:bookmarkEnd w:id="176"/>
      <w:r/>
      <w:bookmarkEnd w:id="177"/>
      <w:r/>
      <w:bookmarkEnd w:id="178"/>
      <w:r/>
      <w:bookmarkEnd w:id="179"/>
      <w:r/>
      <w:r/>
    </w:p>
    <w:p>
      <w:pPr>
        <w:pStyle w:val="967"/>
        <w:ind w:firstLine="420"/>
        <w:spacing w:before="0" w:after="0" w:line="240" w:lineRule="auto"/>
        <w:rPr>
          <w:rFonts w:ascii="方正楷体_GBK" w:hAnsi="方正楷体_GBK" w:eastAsia="方正楷体_GBK" w:cs="方正楷体_GBK"/>
          <w:color w:val="auto"/>
        </w:rPr>
      </w:pPr>
      <w:r/>
      <w:bookmarkStart w:id="180" w:name="_Toc20823309"/>
      <w:r/>
      <w:bookmarkStart w:id="181" w:name="_Toc16938553"/>
      <w:r/>
      <w:bookmarkStart w:id="182" w:name="_Toc513029237"/>
      <w:r>
        <w:rPr>
          <w:rFonts w:hint="eastAsia" w:ascii="方正楷体_GBK" w:hAnsi="方正楷体_GBK" w:eastAsia="方正楷体_GBK" w:cs="方正楷体_GBK"/>
          <w:color w:val="auto"/>
        </w:rPr>
        <w:t xml:space="preserve">28.签订合同</w:t>
      </w:r>
      <w:r/>
    </w:p>
    <w:p>
      <w:pPr>
        <w:ind w:firstLine="420"/>
        <w:rPr>
          <w:rFonts w:hint="eastAsia" w:ascii="宋体" w:hAnsi="宋体"/>
          <w:color w:val="auto"/>
          <w:sz w:val="24"/>
        </w:rPr>
      </w:pPr>
      <w:r>
        <w:rPr>
          <w:rFonts w:hint="eastAsia" w:ascii="宋体" w:hAnsi="宋体"/>
          <w:color w:val="auto"/>
          <w:sz w:val="24"/>
        </w:rPr>
        <w:t xml:space="preserve">28</w:t>
      </w:r>
      <w:r>
        <w:rPr>
          <w:rFonts w:hint="eastAsia" w:ascii="宋体" w:hAnsi="宋体"/>
          <w:color w:val="auto"/>
          <w:sz w:val="24"/>
          <w:lang w:val="zh-CN"/>
        </w:rPr>
        <w:t xml:space="preserve">.l</w:t>
      </w:r>
      <w:r>
        <w:rPr>
          <w:rFonts w:hint="eastAsia" w:ascii="宋体" w:hAnsi="宋体"/>
          <w:color w:val="auto"/>
          <w:sz w:val="24"/>
        </w:rPr>
        <w:t xml:space="preserve"> </w:t>
      </w:r>
      <w:r>
        <w:rPr>
          <w:rFonts w:hint="eastAsia" w:ascii="宋体" w:hAnsi="宋体"/>
          <w:color w:val="auto"/>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.2 招标文件、中标人的投标文件及招标过程中有关澄清、承诺文件均作为合同附件。</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lang w:val="zh-CN"/>
        </w:rPr>
      </w:pPr>
      <w:r>
        <w:rPr>
          <w:rFonts w:hint="eastAsia" w:ascii="宋体" w:hAnsi="宋体"/>
          <w:color w:val="auto"/>
          <w:sz w:val="24"/>
        </w:rPr>
        <w:t xml:space="preserve">28</w:t>
      </w:r>
      <w:r>
        <w:rPr>
          <w:rFonts w:hint="eastAsia" w:ascii="宋体" w:hAnsi="宋体"/>
          <w:color w:val="auto"/>
          <w:sz w:val="24"/>
          <w:lang w:val="zh-CN"/>
        </w:rPr>
        <w:t xml:space="preserve">.4 中标人因自身原因拒绝与采购人签订合同的，不得参加采购人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p>
    <w:p>
      <w:pPr>
        <w:ind w:firstLine="420"/>
        <w:rPr>
          <w:rFonts w:hint="eastAsia" w:ascii="宋体" w:hAnsi="宋体"/>
          <w:color w:val="auto"/>
          <w:sz w:val="24"/>
          <w:lang w:val="zh-CN"/>
        </w:rPr>
      </w:pPr>
      <w:r>
        <w:rPr>
          <w:rFonts w:hint="eastAsia" w:ascii="宋体" w:hAnsi="宋体"/>
          <w:color w:val="auto"/>
          <w:sz w:val="24"/>
        </w:rPr>
        <w:t xml:space="preserve">29</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rPr>
        <w:t xml:space="preserve">的</w:t>
      </w:r>
      <w:r>
        <w:rPr>
          <w:rFonts w:hint="eastAsia" w:ascii="宋体" w:hAnsi="宋体"/>
          <w:color w:val="auto"/>
          <w:sz w:val="24"/>
          <w:lang w:val="zh-CN"/>
        </w:rPr>
        <w:t xml:space="preserve">10%。</w:t>
      </w:r>
      <w:bookmarkEnd w:id="180"/>
      <w:r/>
      <w:bookmarkEnd w:id="181"/>
      <w:r/>
      <w:bookmarkEnd w:id="182"/>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rPr>
          <w:rFonts w:hint="eastAsia" w:ascii="宋体" w:hAnsi="宋体"/>
          <w:color w:val="auto"/>
          <w:sz w:val="24"/>
          <w:lang w:val="zh-CN"/>
        </w:rPr>
      </w:pPr>
      <w:r>
        <w:rPr>
          <w:rFonts w:hint="eastAsia" w:ascii="宋体" w:hAnsi="宋体"/>
          <w:color w:val="auto"/>
          <w:sz w:val="24"/>
        </w:rPr>
        <w:t xml:space="preserve">30.1 </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w:t>
      </w:r>
      <w:r>
        <w:rPr>
          <w:rFonts w:hint="eastAsia" w:ascii="宋体" w:hAnsi="宋体"/>
          <w:color w:val="auto"/>
          <w:sz w:val="24"/>
          <w:lang w:val="zh-CN"/>
        </w:rPr>
        <w:t xml:space="preserve">南京市公共资源交易</w:t>
      </w:r>
      <w:r>
        <w:rPr>
          <w:rFonts w:hint="eastAsia" w:ascii="宋体" w:hAnsi="宋体"/>
          <w:color w:val="auto"/>
          <w:sz w:val="24"/>
        </w:rPr>
        <w:t xml:space="preserve">平台</w:t>
      </w:r>
      <w:r>
        <w:rPr>
          <w:rFonts w:hint="eastAsia" w:ascii="宋体" w:hAnsi="宋体"/>
          <w:color w:val="auto"/>
          <w:sz w:val="24"/>
          <w:lang w:val="zh-CN"/>
        </w:rPr>
        <w:t xml:space="preserve">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color w:val="auto"/>
          <w:lang w:val="zh-CN"/>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w:t>
      </w:r>
      <w:r>
        <w:rPr>
          <w:rFonts w:hint="eastAsia" w:ascii="宋体" w:hAnsi="宋体"/>
          <w:color w:val="auto"/>
          <w:sz w:val="24"/>
          <w:lang w:val="zh-CN"/>
        </w:rPr>
        <w:t xml:space="preserve">中标</w:t>
      </w:r>
      <w:r>
        <w:rPr>
          <w:rFonts w:hint="eastAsia" w:ascii="宋体" w:hAnsi="宋体"/>
          <w:color w:val="auto"/>
          <w:sz w:val="24"/>
        </w:rPr>
        <w:t xml:space="preserve">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 对采购文件提出质疑的，为收到采购文件之日或者采购文件公告期限届满之日。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 对采购过程提出质疑的，为各采购程序环节结束之日。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 对中标或者成交结果提出质疑的，为中标或者成交结果公告期限届满之日。</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p>
    <w:p>
      <w:pPr>
        <w:ind w:firstLine="420"/>
        <w:rPr>
          <w:rFonts w:hint="eastAsia"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rPr>
          <w:rFonts w:hint="eastAsia" w:ascii="宋体" w:hAnsi="宋体"/>
          <w:color w:val="auto"/>
          <w:sz w:val="24"/>
          <w:lang w:val="zh-CN"/>
        </w:rPr>
      </w:pPr>
      <w:r>
        <w:rPr>
          <w:rFonts w:hint="eastAsia" w:ascii="宋体" w:hAnsi="宋体"/>
          <w:color w:val="auto"/>
          <w:sz w:val="24"/>
        </w:rPr>
        <w:t xml:space="preserve">35.</w:t>
      </w:r>
      <w:r>
        <w:rPr>
          <w:rFonts w:hint="eastAsia" w:ascii="宋体" w:hAnsi="宋体"/>
          <w:b/>
          <w:bCs/>
          <w:color w:val="auto"/>
          <w:sz w:val="24"/>
          <w:lang w:val="zh-CN"/>
        </w:rPr>
        <w:t xml:space="preserve">供应商（含潜在供应商）对采购方式、采购需求、供应商资格条件、评标方法和评标标准、合同文本的</w:t>
      </w:r>
      <w:r>
        <w:rPr>
          <w:rFonts w:hint="eastAsia" w:ascii="宋体" w:hAnsi="宋体"/>
          <w:b/>
          <w:bCs/>
          <w:color w:val="auto"/>
          <w:sz w:val="24"/>
        </w:rPr>
        <w:t xml:space="preserve">询问或</w:t>
      </w:r>
      <w:r>
        <w:rPr>
          <w:rFonts w:hint="eastAsia" w:ascii="宋体" w:hAnsi="宋体"/>
          <w:b/>
          <w:bCs/>
          <w:color w:val="auto"/>
          <w:sz w:val="24"/>
          <w:lang w:val="zh-CN"/>
        </w:rPr>
        <w:t xml:space="preserve">质疑向采购人提出，由采购人负责答复。</w:t>
      </w:r>
      <w:r>
        <w:rPr>
          <w:rFonts w:hint="eastAsia" w:ascii="宋体" w:hAnsi="宋体"/>
          <w:color w:val="auto"/>
          <w:sz w:val="24"/>
          <w:lang w:val="zh-CN"/>
        </w:rPr>
        <w:t xml:space="preserve">供应商对</w:t>
      </w:r>
      <w:r>
        <w:rPr>
          <w:rFonts w:hint="eastAsia" w:ascii="宋体" w:hAnsi="宋体"/>
          <w:color w:val="auto"/>
          <w:sz w:val="24"/>
        </w:rPr>
        <w:t xml:space="preserve">采购过程、采购结果</w:t>
      </w:r>
      <w:r>
        <w:rPr>
          <w:rFonts w:hint="eastAsia" w:ascii="宋体" w:hAnsi="宋体"/>
          <w:color w:val="auto"/>
          <w:sz w:val="24"/>
          <w:lang w:val="zh-CN"/>
        </w:rPr>
        <w:t xml:space="preserve">的询问</w:t>
      </w:r>
      <w:r>
        <w:rPr>
          <w:rFonts w:hint="eastAsia" w:ascii="宋体" w:hAnsi="宋体"/>
          <w:color w:val="auto"/>
          <w:sz w:val="24"/>
        </w:rPr>
        <w:t xml:space="preserve">或</w:t>
      </w:r>
      <w:r>
        <w:rPr>
          <w:rFonts w:hint="eastAsia" w:ascii="宋体" w:hAnsi="宋体"/>
          <w:color w:val="auto"/>
          <w:sz w:val="24"/>
          <w:lang w:val="zh-CN"/>
        </w:rPr>
        <w:t xml:space="preserve">质疑向交易中心提出，由交易中心负责答复。</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采购人《质疑函》接收人及联系方式见招标文件第一章。</w:t>
      </w:r>
      <w:r/>
    </w:p>
    <w:p>
      <w:pPr>
        <w:ind w:firstLine="420"/>
        <w:rPr>
          <w:rFonts w:hint="eastAsia" w:ascii="宋体" w:hAnsi="宋体"/>
          <w:color w:val="auto"/>
          <w:sz w:val="24"/>
        </w:rPr>
      </w:pPr>
      <w:r>
        <w:rPr>
          <w:rFonts w:hint="eastAsia" w:ascii="宋体" w:hAnsi="宋体"/>
          <w:color w:val="auto"/>
          <w:sz w:val="24"/>
          <w:lang w:val="zh-CN"/>
        </w:rPr>
        <w:t xml:space="preserve">交易中心《质疑函》接收部门为政府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，地址：南京市江东中路265号南京市公共资源交易中心北门，联系电话：025-68505926。</w:t>
      </w:r>
      <w:r>
        <w:rPr>
          <w:rFonts w:hint="eastAsia" w:ascii="宋体" w:hAnsi="宋体"/>
          <w:color w:val="auto"/>
          <w:sz w:val="24"/>
        </w:rPr>
        <w:t xml:space="preserve">  </w:t>
      </w:r>
      <w:r/>
    </w:p>
    <w:p>
      <w:pPr>
        <w:ind w:firstLine="422"/>
        <w:rPr>
          <w:rFonts w:hint="eastAsia" w:ascii="宋体" w:hAnsi="宋体"/>
          <w:b/>
          <w:bCs/>
          <w:color w:val="auto"/>
          <w:sz w:val="24"/>
          <w:lang w:val="zh-CN"/>
        </w:rPr>
      </w:pPr>
      <w:r>
        <w:rPr>
          <w:rFonts w:hint="eastAsia" w:ascii="宋体" w:hAnsi="宋体"/>
          <w:b/>
          <w:bCs/>
          <w:color w:val="auto"/>
          <w:sz w:val="24"/>
        </w:rPr>
        <w:t xml:space="preserve">由采购人负责答复的质疑，采购人将《质疑答复函》抄送交易中心。</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w:t>
      </w:r>
      <w:r>
        <w:rPr>
          <w:rFonts w:hint="eastAsia" w:ascii="宋体" w:hAnsi="宋体"/>
          <w:color w:val="auto"/>
          <w:sz w:val="24"/>
          <w:lang w:val="zh-CN"/>
        </w:rPr>
        <w:t xml:space="preserve">以下情形的质疑不予受理：</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内容不符合《政府采购质疑和投诉办法》第十二条规定的质疑。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超出政府采购法定期限的质疑。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6.3 以传真、电子邮件等方式递交的非原件形式的质疑。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6.4 未参加采购活动或在采购活动中自身权益未受到损害的供应商所提出的质疑。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6.5 供应商组成联合体参加采购活动，联合体中任何一方或多方未按要求签字</w:t>
      </w:r>
      <w:r>
        <w:rPr>
          <w:rFonts w:hint="eastAsia" w:ascii="宋体" w:hAnsi="宋体"/>
          <w:color w:val="auto"/>
          <w:sz w:val="24"/>
        </w:rPr>
        <w:t xml:space="preserve">或签章</w:t>
      </w:r>
      <w:r>
        <w:rPr>
          <w:rFonts w:hint="eastAsia" w:ascii="宋体" w:hAnsi="宋体"/>
          <w:color w:val="auto"/>
          <w:sz w:val="24"/>
          <w:lang w:val="zh-CN"/>
        </w:rPr>
        <w:t xml:space="preserve">、加盖公章的质疑。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6</w:t>
      </w:r>
      <w:r>
        <w:rPr>
          <w:rFonts w:hint="eastAsia" w:ascii="宋体" w:hAnsi="宋体"/>
          <w:color w:val="auto"/>
          <w:sz w:val="24"/>
          <w:lang w:val="zh-CN"/>
        </w:rPr>
        <w:t xml:space="preserve">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hint="eastAsia"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65"/>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967"/>
        <w:ind w:firstLine="420"/>
        <w:spacing w:before="0" w:after="0" w:line="240" w:lineRule="auto"/>
        <w:rPr>
          <w:rFonts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hint="eastAsia" w:ascii="宋体" w:hAnsi="宋体"/>
          <w:color w:val="auto"/>
          <w:sz w:val="24"/>
          <w:lang w:val="zh-CN"/>
        </w:rPr>
      </w:pPr>
      <w:r>
        <w:rPr>
          <w:rFonts w:hint="eastAsia" w:ascii="宋体" w:hAnsi="宋体"/>
          <w:color w:val="auto"/>
          <w:sz w:val="24"/>
        </w:rPr>
        <w:t xml:space="preserve">38.1 本项目中的</w:t>
      </w:r>
      <w:r>
        <w:rPr>
          <w:rFonts w:hint="eastAsia" w:ascii="宋体" w:hAnsi="宋体"/>
          <w:color w:val="auto"/>
          <w:sz w:val="24"/>
          <w:lang w:val="zh-CN"/>
        </w:rPr>
        <w:t xml:space="preserve">货物</w:t>
      </w:r>
      <w:r>
        <w:rPr>
          <w:rFonts w:hint="eastAsia" w:ascii="宋体" w:hAnsi="宋体"/>
          <w:color w:val="auto"/>
          <w:sz w:val="24"/>
        </w:rPr>
        <w:t xml:space="preserve">全部</w:t>
      </w:r>
      <w:r>
        <w:rPr>
          <w:rFonts w:hint="eastAsia" w:ascii="宋体" w:hAnsi="宋体"/>
          <w:color w:val="auto"/>
          <w:sz w:val="24"/>
          <w:lang w:val="zh-CN"/>
        </w:rPr>
        <w:t xml:space="preserve">由中小企业制造的，</w:t>
      </w:r>
      <w:r>
        <w:rPr>
          <w:rFonts w:hint="eastAsia" w:ascii="宋体" w:hAnsi="宋体"/>
          <w:color w:val="auto"/>
          <w:sz w:val="24"/>
        </w:rPr>
        <w:t xml:space="preserve">投标供应商</w:t>
      </w:r>
      <w:r>
        <w:rPr>
          <w:rFonts w:hint="eastAsia" w:ascii="宋体" w:hAnsi="宋体"/>
          <w:color w:val="auto"/>
          <w:sz w:val="24"/>
          <w:lang w:val="zh-CN"/>
        </w:rPr>
        <w:t xml:space="preserve">享受中小企业扶持政策。</w:t>
      </w:r>
      <w:r/>
    </w:p>
    <w:p>
      <w:pPr>
        <w:ind w:firstLine="420"/>
        <w:rPr>
          <w:rFonts w:hint="eastAsia" w:ascii="宋体" w:hAnsi="宋体"/>
          <w:color w:val="auto"/>
          <w:sz w:val="24"/>
          <w:lang w:val="zh-CN"/>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w:t>
      </w:r>
      <w:bookmarkStart w:id="183" w:name="OLE_LINK1"/>
      <w:r>
        <w:rPr>
          <w:rFonts w:hint="eastAsia" w:ascii="宋体" w:hAnsi="宋体"/>
          <w:color w:val="auto"/>
          <w:sz w:val="24"/>
          <w:lang w:val="zh-CN"/>
        </w:rPr>
        <w:t xml:space="preserve">《关于印发中小企业划型标准规定的通知》（工信部联企业〔2011〕300号）</w:t>
      </w:r>
      <w:bookmarkEnd w:id="183"/>
      <w:r>
        <w:rPr>
          <w:rFonts w:hint="eastAsia" w:ascii="宋体" w:hAnsi="宋体"/>
          <w:color w:val="auto"/>
          <w:sz w:val="24"/>
          <w:lang w:val="zh-CN"/>
        </w:rPr>
        <w:t xml:space="preserve">、《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lang w:val="zh-CN"/>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w:t>
      </w:r>
      <w:r/>
    </w:p>
    <w:p>
      <w:pPr>
        <w:ind w:firstLine="420"/>
        <w:rPr>
          <w:rFonts w:hint="eastAsia" w:ascii="宋体" w:hAnsi="宋体"/>
          <w:color w:val="auto"/>
          <w:sz w:val="24"/>
          <w:lang w:val="zh-CN"/>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9</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节能环保产品</w:t>
      </w:r>
      <w:r/>
    </w:p>
    <w:p>
      <w:pPr>
        <w:ind w:firstLine="420"/>
        <w:rPr>
          <w:rFonts w:hint="eastAsia" w:ascii="宋体" w:hAnsi="宋体"/>
          <w:color w:val="auto"/>
          <w:sz w:val="24"/>
          <w:lang w:val="zh-CN"/>
        </w:rPr>
      </w:pPr>
      <w:r>
        <w:rPr>
          <w:rFonts w:hint="eastAsia" w:ascii="宋体" w:hAns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lang w:val="zh-CN"/>
        </w:rPr>
      </w:pPr>
      <w:r>
        <w:rPr>
          <w:rFonts w:hint="eastAsia" w:ascii="宋体" w:hAnsi="宋体"/>
          <w:color w:val="auto"/>
          <w:sz w:val="24"/>
        </w:rPr>
        <w:t xml:space="preserve">39.2 采购产品</w:t>
      </w:r>
      <w:r>
        <w:rPr>
          <w:rFonts w:hint="eastAsia" w:ascii="宋体" w:hAnsi="宋体"/>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lang w:val="zh-CN"/>
        </w:rPr>
      </w:pPr>
      <w:r>
        <w:rPr>
          <w:rFonts w:hint="eastAsia" w:ascii="宋体" w:hAnsi="宋体"/>
          <w:color w:val="auto"/>
          <w:sz w:val="24"/>
        </w:rPr>
        <w:t xml:space="preserve">39.3 采购产品</w:t>
      </w:r>
      <w:r>
        <w:rPr>
          <w:rFonts w:hint="eastAsia" w:ascii="宋体" w:hAnsi="宋体"/>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rPr>
        <w:t xml:space="preserve">第五章评标方法与评标标准</w:t>
      </w:r>
      <w:r>
        <w:rPr>
          <w:rFonts w:hint="eastAsia" w:ascii="宋体" w:hAnsi="宋体"/>
          <w:color w:val="auto"/>
          <w:sz w:val="24"/>
          <w:lang w:val="zh-CN"/>
        </w:rPr>
        <w:t xml:space="preserve">）。</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40</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rPr>
          <w:rFonts w:hint="eastAsia" w:ascii="宋体" w:hAnsi="宋体"/>
          <w:color w:val="auto"/>
          <w:sz w:val="24"/>
        </w:rPr>
      </w:pPr>
      <w:r>
        <w:rPr>
          <w:rFonts w:hint="eastAsia" w:ascii="宋体" w:hAnsi="宋体"/>
          <w:color w:val="auto"/>
          <w:sz w:val="24"/>
        </w:rPr>
        <w:t xml:space="preserve">40.1 采购产品</w:t>
      </w:r>
      <w:r>
        <w:rPr>
          <w:rFonts w:hint="eastAsia" w:ascii="宋体"/>
          <w:bCs/>
          <w:color w:val="auto"/>
          <w:sz w:val="24"/>
          <w:szCs w:val="24"/>
        </w:rPr>
        <w:t xml:space="preserve">中涉及商品包装、快递包装要求的，应按照</w:t>
      </w:r>
      <w:r>
        <w:rPr>
          <w:rFonts w:hint="eastAsia" w:ascii="宋体" w:hAnsi="宋体"/>
          <w:color w:val="auto"/>
          <w:sz w:val="24"/>
        </w:rPr>
        <w:t xml:space="preserve">《商品包装政府采购需求标准（试行）》《快递包装政府采购需求标准（试行）》（财办库〔2020〕123号）、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文件执行。采购文件对</w:t>
      </w:r>
      <w:r>
        <w:rPr>
          <w:rFonts w:hint="eastAsia" w:ascii="宋体"/>
          <w:bCs/>
          <w:color w:val="auto"/>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rPr>
      </w:pPr>
      <w:r>
        <w:rPr>
          <w:rFonts w:hint="eastAsia" w:ascii="宋体" w:hAnsi="宋体"/>
          <w:color w:val="auto"/>
          <w:sz w:val="24"/>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rPr>
        <w:t xml:space="preserve">《江苏省财政厅关于加强政府绿色采购有关事项的通知》（苏财购〔2023〕65号）</w:t>
      </w:r>
      <w:r>
        <w:rPr>
          <w:rFonts w:hint="eastAsia" w:ascii="宋体" w:hAnsi="宋体"/>
          <w:color w:val="auto"/>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rPr>
      </w:pPr>
      <w:r>
        <w:rPr>
          <w:rFonts w:hint="eastAsia" w:ascii="宋体" w:hAns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rPr>
      </w:pPr>
      <w:r>
        <w:rPr>
          <w:rFonts w:hint="eastAsia" w:ascii="宋体" w:hAnsi="宋体"/>
          <w:color w:val="auto"/>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41</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widowControl/>
        <w:rPr>
          <w:rFonts w:hint="eastAsia" w:ascii="宋体" w:hAnsi="宋体"/>
          <w:color w:val="auto"/>
          <w:sz w:val="24"/>
        </w:rPr>
      </w:pPr>
      <w:r>
        <w:rPr>
          <w:rFonts w:hint="eastAsia" w:ascii="宋体" w:hAnsi="宋体"/>
          <w:color w:val="auto"/>
          <w:sz w:val="24"/>
        </w:rPr>
        <w:t xml:space="preserve">41.1 优先采购各级政府部门公开发布的有效期内的创新产品、首台套等《目录》内的创新产品。创新产品自进入《目录》起2年内视同具备相应销售业绩。</w:t>
      </w:r>
      <w:r/>
    </w:p>
    <w:p>
      <w:pPr>
        <w:pStyle w:val="967"/>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42.</w:t>
      </w:r>
      <w:r>
        <w:rPr>
          <w:rFonts w:hint="eastAsia" w:ascii="方正楷体_GBK" w:hAnsi="方正楷体_GBK" w:eastAsia="方正楷体_GBK" w:cs="方正楷体_GBK"/>
          <w:color w:val="auto"/>
          <w:lang w:val="zh-CN"/>
        </w:rPr>
        <w:t xml:space="preserve">网络产品、市场准入类产品采购</w:t>
      </w:r>
      <w:r/>
    </w:p>
    <w:p>
      <w:pPr>
        <w:ind w:firstLine="420"/>
        <w:rPr>
          <w:rFonts w:hint="eastAsia" w:ascii="宋体" w:hAnsi="宋体"/>
          <w:color w:val="auto"/>
          <w:sz w:val="24"/>
          <w:lang w:val="zh-CN"/>
        </w:rPr>
      </w:pPr>
      <w:r>
        <w:rPr>
          <w:rFonts w:hint="eastAsia" w:ascii="宋体" w:hAnsi="宋体"/>
          <w:color w:val="auto"/>
          <w:sz w:val="24"/>
        </w:rPr>
        <w:t xml:space="preserve">42.1 </w:t>
      </w:r>
      <w:r>
        <w:rPr>
          <w:rFonts w:hint="eastAsia" w:ascii="宋体" w:hAnsi="宋体"/>
          <w:color w:val="auto"/>
          <w:sz w:val="24"/>
          <w:lang w:val="zh-CN"/>
        </w:rPr>
        <w:t xml:space="preserve">本</w:t>
      </w:r>
      <w:r>
        <w:rPr>
          <w:rFonts w:hint="eastAsia" w:ascii="宋体" w:hAnsi="宋体"/>
          <w:color w:val="auto"/>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auto"/>
          <w:sz w:val="24"/>
          <w:lang w:val="zh-CN"/>
        </w:rPr>
      </w:pPr>
      <w:r>
        <w:rPr>
          <w:rFonts w:hint="eastAsia" w:ascii="宋体" w:hAnsi="宋体"/>
          <w:color w:val="auto"/>
          <w:sz w:val="24"/>
        </w:rPr>
        <w:t xml:space="preserve">42.2 </w:t>
      </w:r>
      <w:r>
        <w:rPr>
          <w:rFonts w:hint="eastAsia" w:ascii="宋体" w:hAnsi="宋体"/>
          <w:color w:val="auto"/>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02"/>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702"/>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702"/>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702"/>
        <w:ind w:left="0"/>
        <w:jc w:val="center"/>
        <w:rPr>
          <w:rFonts w:ascii="黑体" w:hAnsi="Times New Roman" w:eastAsia="黑体" w:cs="Times New Roman"/>
          <w:color w:val="auto"/>
          <w:sz w:val="44"/>
          <w:szCs w:val="44"/>
        </w:rPr>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lang w:val="en-US"/>
        </w:rPr>
        <w:t xml:space="preserve">文本</w:t>
      </w:r>
      <w:r/>
    </w:p>
    <w:p>
      <w:pPr>
        <w:ind w:firstLine="480"/>
        <w:spacing w:line="264" w:lineRule="auto"/>
        <w:rPr>
          <w:rFonts w:hint="eastAsia" w:ascii="宋体" w:hAnsi="宋体"/>
          <w:bCs/>
          <w:color w:val="auto"/>
          <w:sz w:val="24"/>
          <w:szCs w:val="21"/>
        </w:rPr>
      </w:pPr>
      <w:r/>
      <w:bookmarkStart w:id="184" w:name="_Toc16938559"/>
      <w:r/>
      <w:bookmarkStart w:id="185" w:name="_Toc20823315"/>
      <w:r/>
      <w:bookmarkStart w:id="186" w:name="_Toc513029243"/>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auto"/>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auto"/>
          <w:sz w:val="30"/>
          <w:szCs w:val="21"/>
        </w:rPr>
        <w:outlineLvl w:val="0"/>
      </w:pPr>
      <w:r>
        <w:rPr>
          <w:rFonts w:hint="eastAsia" w:ascii="宋体" w:hAnsi="宋体"/>
          <w:b/>
          <w:color w:val="auto"/>
          <w:sz w:val="30"/>
          <w:szCs w:val="21"/>
        </w:rPr>
      </w:r>
      <w:r/>
    </w:p>
    <w:p>
      <w:pPr>
        <w:jc w:val="center"/>
        <w:spacing w:before="145" w:after="145" w:line="264" w:lineRule="auto"/>
        <w:rPr>
          <w:rFonts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政府采购合同（货物）</w:t>
      </w:r>
      <w:r/>
    </w:p>
    <w:p>
      <w:pPr>
        <w:jc w:val="left"/>
        <w:spacing w:before="145" w:after="145" w:line="264" w:lineRule="auto"/>
        <w:rPr>
          <w:rFonts w:hint="eastAsia" w:ascii="宋体" w:hAnsi="宋体" w:cs="Courier New"/>
          <w:color w:val="auto"/>
          <w:sz w:val="24"/>
          <w:szCs w:val="24"/>
        </w:rPr>
        <w:outlineLvl w:val="0"/>
      </w:pPr>
      <w:r>
        <w:rPr>
          <w:rFonts w:ascii="宋体" w:hAnsi="宋体" w:cs="Courier New"/>
          <w:color w:val="auto"/>
          <w:sz w:val="24"/>
          <w:szCs w:val="24"/>
        </w:rPr>
        <w:t xml:space="preserve">合同编号：</w:t>
      </w:r>
      <w:r/>
    </w:p>
    <w:p>
      <w:pPr>
        <w:spacing w:before="145" w:after="145" w:line="264" w:lineRule="auto"/>
        <w:rPr>
          <w:rFonts w:hint="eastAsia" w:ascii="宋体" w:hAnsi="宋体" w:cs="Courier New"/>
          <w:color w:val="auto"/>
          <w:sz w:val="24"/>
          <w:szCs w:val="24"/>
        </w:rPr>
        <w:outlineLvl w:val="0"/>
      </w:pPr>
      <w:r>
        <w:rPr>
          <w:rFonts w:ascii="宋体" w:hAnsi="宋体" w:cs="Courier New"/>
          <w:color w:val="auto"/>
          <w:sz w:val="24"/>
          <w:szCs w:val="24"/>
        </w:rPr>
        <w:t xml:space="preserve">项目名称：                                       项目编号：</w:t>
      </w:r>
      <w:r/>
    </w:p>
    <w:p>
      <w:pPr>
        <w:jc w:val="left"/>
        <w:spacing w:before="145" w:after="145" w:line="264" w:lineRule="auto"/>
        <w:rPr>
          <w:rFonts w:hint="eastAsia" w:ascii="宋体" w:hAnsi="宋体" w:cs="Courier New"/>
          <w:color w:val="auto"/>
          <w:sz w:val="24"/>
          <w:szCs w:val="24"/>
        </w:rPr>
        <w:outlineLvl w:val="0"/>
      </w:pPr>
      <w:r>
        <w:rPr>
          <w:rFonts w:ascii="宋体" w:hAnsi="宋体" w:cs="Courier New"/>
          <w:color w:val="auto"/>
          <w:sz w:val="24"/>
          <w:szCs w:val="24"/>
        </w:rPr>
        <w:t xml:space="preserve">甲方（买方）：</w:t>
      </w:r>
      <w:r/>
    </w:p>
    <w:p>
      <w:pPr>
        <w:jc w:val="left"/>
        <w:spacing w:before="145" w:after="145" w:line="264" w:lineRule="auto"/>
        <w:rPr>
          <w:rFonts w:hint="eastAsia" w:ascii="宋体" w:hAnsi="宋体" w:cs="Courier New"/>
          <w:color w:val="auto"/>
          <w:sz w:val="24"/>
          <w:szCs w:val="24"/>
        </w:rPr>
        <w:outlineLvl w:val="0"/>
      </w:pPr>
      <w:r>
        <w:rPr>
          <w:rFonts w:ascii="宋体" w:hAnsi="宋体" w:cs="Courier New"/>
          <w:color w:val="auto"/>
          <w:sz w:val="24"/>
          <w:szCs w:val="24"/>
        </w:rPr>
        <w:t xml:space="preserve">乙方（卖方）：</w:t>
      </w:r>
      <w:r/>
    </w:p>
    <w:p>
      <w:pPr>
        <w:spacing w:line="264" w:lineRule="auto"/>
        <w:rPr>
          <w:rFonts w:hint="eastAsia"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w:t>
      </w:r>
      <w:r>
        <w:rPr>
          <w:rFonts w:hint="eastAsia" w:ascii="宋体" w:hAnsi="宋体" w:cs="Courier New"/>
          <w:color w:val="auto"/>
          <w:sz w:val="24"/>
          <w:szCs w:val="24"/>
        </w:rPr>
        <w:t xml:space="preserve">，</w:t>
      </w:r>
      <w:r>
        <w:rPr>
          <w:rFonts w:ascii="宋体" w:hAnsi="宋体" w:cs="Courier New"/>
          <w:color w:val="auto"/>
          <w:sz w:val="24"/>
          <w:szCs w:val="24"/>
        </w:rPr>
        <w:t xml:space="preserve">签署本合同。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 标的质量：按</w:t>
      </w:r>
      <w:r>
        <w:rPr>
          <w:rFonts w:hint="eastAsia" w:ascii="宋体" w:hAnsi="宋体" w:cs="Courier New"/>
          <w:color w:val="auto"/>
          <w:sz w:val="24"/>
          <w:szCs w:val="24"/>
        </w:rPr>
        <w:t xml:space="preserve">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履行地点：采购人指定地点。</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97"/>
        <w:spacing w:line="264" w:lineRule="auto"/>
        <w:rPr>
          <w:rFonts w:hint="eastAsia"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本合同金额为（大写）：____________________圆（____________________元）人民币。</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6.1 本项目乙方无需缴纳履约保证金。</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97"/>
        <w:spacing w:line="264" w:lineRule="auto"/>
        <w:rPr>
          <w:rFonts w:hint="eastAsia" w:hAnsi="宋体"/>
          <w:color w:val="auto"/>
          <w:sz w:val="24"/>
          <w:szCs w:val="24"/>
        </w:rPr>
      </w:pPr>
      <w:r>
        <w:rPr>
          <w:rFonts w:hint="eastAsia" w:hAnsi="宋体"/>
          <w:color w:val="auto"/>
          <w:sz w:val="24"/>
          <w:szCs w:val="24"/>
        </w:rPr>
        <w:t xml:space="preserve">8.1 合同款项的支付方式及时间</w:t>
      </w:r>
      <w:r/>
    </w:p>
    <w:p>
      <w:pPr>
        <w:pStyle w:val="997"/>
        <w:spacing w:line="264" w:lineRule="auto"/>
        <w:rPr>
          <w:rFonts w:hint="eastAsia" w:hAnsi="宋体"/>
          <w:color w:val="auto"/>
          <w:sz w:val="24"/>
          <w:szCs w:val="24"/>
        </w:rPr>
      </w:pPr>
      <w:r>
        <w:rPr>
          <w:rFonts w:hint="eastAsia" w:hAnsi="宋体"/>
          <w:color w:val="auto"/>
          <w:sz w:val="24"/>
          <w:szCs w:val="24"/>
        </w:rPr>
        <w:t xml:space="preserve">8.1.1 合同签订后，甲方支付合同总价款的30%作为预付款。</w:t>
      </w:r>
      <w:r/>
    </w:p>
    <w:p>
      <w:pPr>
        <w:pStyle w:val="997"/>
        <w:spacing w:line="264" w:lineRule="auto"/>
        <w:rPr>
          <w:rFonts w:hint="eastAsia" w:hAnsi="宋体"/>
          <w:color w:val="auto"/>
          <w:sz w:val="24"/>
          <w:szCs w:val="24"/>
        </w:rPr>
      </w:pPr>
      <w:r>
        <w:rPr>
          <w:rFonts w:hint="eastAsia" w:hAnsi="宋体"/>
          <w:color w:val="auto"/>
          <w:sz w:val="24"/>
          <w:szCs w:val="24"/>
        </w:rPr>
        <w:t xml:space="preserve">8.1.2 供货结束并验收合格后，甲方支付合同总价款的70%。</w:t>
      </w:r>
      <w:r/>
    </w:p>
    <w:p>
      <w:pPr>
        <w:pStyle w:val="997"/>
        <w:spacing w:line="264" w:lineRule="auto"/>
        <w:rPr>
          <w:rFonts w:hint="eastAsia" w:hAnsi="宋体"/>
          <w:color w:val="auto"/>
          <w:sz w:val="24"/>
          <w:szCs w:val="24"/>
        </w:rPr>
      </w:pPr>
      <w:r>
        <w:rPr>
          <w:rFonts w:hint="eastAsia" w:hAnsi="宋体"/>
          <w:color w:val="auto"/>
          <w:sz w:val="24"/>
          <w:szCs w:val="24"/>
        </w:rPr>
        <w:t xml:space="preserve">8.1.3 满足合同约定支付条件的，甲方收到乙方发票后10个工作日内，将资金支付到合同约定的乙方账户。 </w:t>
      </w:r>
      <w:r/>
    </w:p>
    <w:p>
      <w:pPr>
        <w:pStyle w:val="997"/>
        <w:spacing w:line="264" w:lineRule="auto"/>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pStyle w:val="997"/>
        <w:spacing w:line="264" w:lineRule="auto"/>
        <w:rPr>
          <w:rFonts w:hint="eastAsia" w:hAnsi="宋体"/>
          <w:color w:val="auto"/>
          <w:sz w:val="24"/>
          <w:szCs w:val="24"/>
        </w:rPr>
      </w:pPr>
      <w:r>
        <w:rPr>
          <w:rFonts w:hint="eastAsia" w:hAnsi="宋体"/>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十、质量保修范围和保修期及售后服务</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10.2.1 更换：由乙方承担所发生的全部费用。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10.2.2 贬值处理：由甲乙双方合议定价。</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10.3 如在使用过程中发生质量问题，乙方应在接到甲方通知后</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小时内到达甲方现场。</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10.5 质保期为自交货验收合格之日起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十一、项目验收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十二、货物的包装、发运及运输</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12.4 货物在交付甲方前发生的风险均由乙方负责。</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十三、违约责任</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13.1 甲方无正当理由拒收货物的，应向乙方偿付拒收货物总价款</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13.2 甲方无故逾期验收和办理货款支付手续的，应按逾期付款总额每日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13.3 乙方逾期交付货物的，应按逾期交货总额每日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 </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rPr>
      </w:pPr>
      <w:r>
        <w:rPr>
          <w:rFonts w:hint="eastAsia" w:ascii="宋体" w:hAnsi="宋体" w:cs="Courier New"/>
          <w:color w:val="auto"/>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十四、不可抗力事件处理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十五、解决争议的方法</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十六、合同生效及其它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16.1 本合同经双方加盖单位公章后生效。</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16.3 本合同正本一式两份，具有同等法律效力，甲方、乙方各执一份。</w:t>
      </w:r>
      <w:bookmarkEnd w:id="184"/>
      <w:r/>
      <w:bookmarkEnd w:id="185"/>
      <w:r/>
      <w:bookmarkEnd w:id="186"/>
      <w:r/>
      <w:r/>
    </w:p>
    <w:p>
      <w:pPr>
        <w:pStyle w:val="997"/>
        <w:spacing w:before="120" w:after="120" w:line="264" w:lineRule="auto"/>
        <w:rPr>
          <w:rFonts w:hint="eastAsia" w:hAnsi="宋体"/>
          <w:color w:val="auto"/>
          <w:sz w:val="24"/>
          <w:szCs w:val="24"/>
        </w:rPr>
      </w:pPr>
      <w:r/>
      <w:bookmarkStart w:id="193" w:name="_Hlt16619369"/>
      <w:r/>
      <w:bookmarkEnd w:id="193"/>
      <w:r>
        <w:rPr>
          <w:rFonts w:hint="eastAsia" w:hAnsi="宋体"/>
          <w:color w:val="auto"/>
          <w:sz w:val="24"/>
          <w:szCs w:val="24"/>
        </w:rPr>
        <w:t xml:space="preserve">  </w:t>
      </w:r>
      <w:r/>
    </w:p>
    <w:p>
      <w:pPr>
        <w:pStyle w:val="997"/>
        <w:spacing w:before="120" w:after="120" w:line="264" w:lineRule="auto"/>
        <w:rPr>
          <w:rFonts w:hint="eastAsia" w:hAnsi="宋体"/>
          <w:color w:val="auto"/>
          <w:sz w:val="24"/>
          <w:szCs w:val="24"/>
        </w:rPr>
      </w:pPr>
      <w:r>
        <w:rPr>
          <w:rFonts w:hint="eastAsia" w:hAnsi="宋体"/>
          <w:color w:val="auto"/>
          <w:sz w:val="24"/>
          <w:szCs w:val="24"/>
        </w:rPr>
        <w:t xml:space="preserve">甲  方：（公章）                       乙  方：（公章） </w:t>
      </w:r>
      <w:r/>
    </w:p>
    <w:p>
      <w:pPr>
        <w:pStyle w:val="997"/>
        <w:spacing w:before="120" w:after="120" w:line="264" w:lineRule="auto"/>
        <w:rPr>
          <w:rFonts w:hint="eastAsia" w:hAnsi="宋体"/>
          <w:color w:val="auto"/>
          <w:sz w:val="24"/>
          <w:szCs w:val="24"/>
        </w:rPr>
      </w:pPr>
      <w:r>
        <w:rPr>
          <w:rFonts w:hint="eastAsia" w:hAnsi="宋体"/>
          <w:color w:val="auto"/>
          <w:sz w:val="24"/>
          <w:szCs w:val="24"/>
        </w:rPr>
        <w:t xml:space="preserve">地  址：                               地  址： </w:t>
      </w:r>
      <w:r/>
    </w:p>
    <w:p>
      <w:pPr>
        <w:pStyle w:val="997"/>
        <w:spacing w:before="120" w:after="120" w:line="264" w:lineRule="auto"/>
        <w:rPr>
          <w:rFonts w:hint="eastAsia" w:hAnsi="宋体"/>
          <w:color w:val="auto"/>
          <w:sz w:val="24"/>
          <w:szCs w:val="24"/>
        </w:rPr>
      </w:pPr>
      <w:r>
        <w:rPr>
          <w:rFonts w:hint="eastAsia" w:hAnsi="宋体"/>
          <w:color w:val="auto"/>
          <w:sz w:val="24"/>
          <w:szCs w:val="24"/>
        </w:rPr>
        <w:t xml:space="preserve">法定代表人或授权代表：                 法定代表人或授权代表：</w:t>
      </w:r>
      <w:r/>
    </w:p>
    <w:p>
      <w:pPr>
        <w:pStyle w:val="997"/>
        <w:spacing w:before="120" w:after="120" w:line="264" w:lineRule="auto"/>
        <w:rPr>
          <w:rFonts w:hint="eastAsia" w:hAnsi="宋体"/>
          <w:color w:val="auto"/>
          <w:sz w:val="24"/>
          <w:szCs w:val="24"/>
        </w:rPr>
      </w:pPr>
      <w:r>
        <w:rPr>
          <w:rFonts w:hint="eastAsia" w:hAnsi="宋体"/>
          <w:color w:val="auto"/>
          <w:sz w:val="24"/>
          <w:szCs w:val="24"/>
        </w:rPr>
        <w:t xml:space="preserve">联系电话：                             联系电话：          </w:t>
      </w:r>
      <w:r/>
    </w:p>
    <w:p>
      <w:pPr>
        <w:pStyle w:val="997"/>
        <w:spacing w:before="120" w:after="120" w:line="264" w:lineRule="auto"/>
        <w:rPr>
          <w:rFonts w:hint="eastAsia" w:hAnsi="宋体"/>
          <w:color w:val="auto"/>
          <w:sz w:val="24"/>
          <w:szCs w:val="24"/>
        </w:rPr>
      </w:pPr>
      <w:r>
        <w:rPr>
          <w:rFonts w:hint="eastAsia" w:hAnsi="宋体"/>
          <w:color w:val="auto"/>
          <w:sz w:val="24"/>
          <w:szCs w:val="24"/>
        </w:rPr>
        <w:t xml:space="preserve">                                          </w:t>
      </w:r>
      <w:r/>
    </w:p>
    <w:p>
      <w:pPr>
        <w:pStyle w:val="997"/>
        <w:ind w:firstLine="4800"/>
        <w:spacing w:before="120" w:after="120" w:line="264" w:lineRule="auto"/>
        <w:rPr>
          <w:rFonts w:hint="eastAsia" w:hAnsi="宋体"/>
          <w:color w:val="auto"/>
          <w:sz w:val="24"/>
          <w:szCs w:val="24"/>
        </w:rPr>
      </w:pPr>
      <w:r>
        <w:rPr>
          <w:rFonts w:hint="eastAsia" w:hAnsi="宋体"/>
          <w:color w:val="auto"/>
          <w:sz w:val="24"/>
          <w:szCs w:val="24"/>
        </w:rPr>
        <w:t xml:space="preserve">签订日期：      </w:t>
      </w:r>
      <w:r/>
    </w:p>
    <w:p>
      <w:pPr>
        <w:jc w:val="center"/>
        <w:spacing w:before="145" w:after="145" w:line="264" w:lineRule="auto"/>
        <w:rPr>
          <w:rFonts w:hint="eastAsia" w:ascii="宋体" w:hAnsi="宋体"/>
          <w:b/>
          <w:color w:val="auto"/>
          <w:sz w:val="30"/>
          <w:szCs w:val="21"/>
        </w:rPr>
        <w:outlineLvl w:val="0"/>
      </w:pPr>
      <w:r>
        <w:rPr>
          <w:rFonts w:hint="eastAsia" w:ascii="宋体" w:hAnsi="宋体"/>
          <w:b/>
          <w:color w:val="auto"/>
          <w:sz w:val="30"/>
          <w:szCs w:val="21"/>
        </w:rPr>
      </w:r>
      <w:r/>
    </w:p>
    <w:p>
      <w:pPr>
        <w:spacing w:before="145" w:after="145" w:line="264" w:lineRule="auto"/>
        <w:rPr>
          <w:rFonts w:ascii="方正小标宋简体" w:hAnsi="方正小标宋简体" w:eastAsia="方正小标宋简体" w:cs="方正小标宋简体"/>
          <w:bCs/>
          <w:color w:val="auto"/>
          <w:sz w:val="32"/>
          <w:szCs w:val="32"/>
        </w:rPr>
        <w:outlineLvl w:val="0"/>
      </w:pPr>
      <w:r>
        <w:rPr>
          <w:rFonts w:ascii="方正小标宋简体" w:hAnsi="方正小标宋简体" w:eastAsia="方正小标宋简体" w:cs="方正小标宋简体"/>
          <w:bCs/>
          <w:color w:val="auto"/>
          <w:sz w:val="32"/>
          <w:szCs w:val="32"/>
        </w:rPr>
      </w:r>
      <w:r/>
    </w:p>
    <w:p>
      <w:pPr>
        <w:jc w:val="center"/>
        <w:spacing w:before="145" w:after="145" w:line="264" w:lineRule="auto"/>
        <w:rPr>
          <w:rFonts w:ascii="方正小标宋简体" w:hAnsi="方正小标宋简体" w:eastAsia="方正小标宋简体" w:cs="方正小标宋简体"/>
          <w:bCs/>
          <w:color w:val="auto"/>
          <w:sz w:val="32"/>
          <w:szCs w:val="32"/>
        </w:rPr>
        <w:outlineLvl w:val="0"/>
      </w:pPr>
      <w:r>
        <w:rPr>
          <w:rFonts w:hint="eastAsia" w:ascii="方正小标宋简体" w:hAnsi="方正小标宋简体" w:eastAsia="方正小标宋简体" w:cs="方正小标宋简体"/>
          <w:bCs/>
          <w:color w:val="auto"/>
          <w:sz w:val="32"/>
          <w:szCs w:val="32"/>
        </w:rPr>
        <w:t xml:space="preserve">《*******合同》补充协议（合同附件）</w:t>
      </w:r>
      <w:r/>
    </w:p>
    <w:p>
      <w:pPr>
        <w:pStyle w:val="997"/>
        <w:ind w:firstLine="480"/>
        <w:jc w:val="left"/>
        <w:spacing w:before="120" w:after="120" w:line="264" w:lineRule="auto"/>
        <w:rPr>
          <w:rFonts w:hint="eastAsia" w:hAnsi="宋体"/>
          <w:color w:val="auto"/>
          <w:sz w:val="24"/>
          <w:szCs w:val="24"/>
        </w:rPr>
      </w:pPr>
      <w:r>
        <w:rPr>
          <w:rFonts w:hint="eastAsia" w:hAnsi="宋体"/>
          <w:color w:val="auto"/>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auto"/>
          <w:sz w:val="36"/>
          <w:szCs w:val="36"/>
        </w:rPr>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rPr>
        <w:t xml:space="preserve">第</w:t>
      </w:r>
      <w:bookmarkEnd w:id="187"/>
      <w:r>
        <w:rPr>
          <w:rFonts w:hint="eastAsia" w:ascii="方正小标宋简体" w:hAnsi="方正小标宋简体" w:eastAsia="方正小标宋简体" w:cs="方正小标宋简体"/>
          <w:color w:val="auto"/>
          <w:sz w:val="36"/>
          <w:szCs w:val="36"/>
        </w:rPr>
        <w:t xml:space="preserve">四章  采购需求</w:t>
      </w:r>
      <w:bookmarkEnd w:id="188"/>
      <w:r/>
      <w:bookmarkEnd w:id="189"/>
      <w:r/>
      <w:bookmarkEnd w:id="190"/>
      <w:r/>
      <w:r/>
    </w:p>
    <w:p>
      <w:pPr>
        <w:ind w:firstLine="480"/>
        <w:spacing w:line="264" w:lineRule="auto"/>
        <w:rPr>
          <w:rFonts w:hint="eastAsia" w:ascii="黑体" w:hAnsi="黑体" w:eastAsia="黑体" w:cs="黑体"/>
          <w:color w:val="auto"/>
          <w:sz w:val="24"/>
          <w:szCs w:val="24"/>
        </w:rPr>
      </w:pPr>
      <w:r/>
      <w:bookmarkStart w:id="194" w:name="_Toc49090575"/>
      <w:r/>
      <w:bookmarkStart w:id="195" w:name="_Toc26554093"/>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货物类项目。</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（一）项目背景</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本项目为南京市第29中学新校区LED大屏信息发布及配套设备采购采购，用于学校各功能区域的信息发布。主要为新校区礼堂、报告厅、风雨操场、武术馆、操场、教学楼公共走道等区域的LED全彩屏、信息发布屏、液晶拼接屏及配套的高清分布式编解码器等。项目包含设备安装、调试并培训使用，保障学校正常教学活动开展。</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须遵循国家、行业及地方现行的规范和标准要求。</w:t>
      </w:r>
      <w:r/>
    </w:p>
    <w:p>
      <w:pPr>
        <w:ind w:firstLine="480"/>
        <w:spacing w:line="264" w:lineRule="auto"/>
        <w:rPr>
          <w:rFonts w:hint="eastAsia" w:ascii="宋体" w:hAnsi="宋体" w:cs="宋体"/>
          <w:bCs/>
          <w:color w:val="auto"/>
          <w:sz w:val="24"/>
          <w:szCs w:val="24"/>
        </w:rPr>
      </w:pPr>
      <w:r>
        <w:rPr>
          <w:rFonts w:hint="eastAsia" w:ascii="黑体" w:hAnsi="黑体" w:eastAsia="黑体" w:cs="黑体"/>
          <w:color w:val="auto"/>
          <w:sz w:val="24"/>
          <w:szCs w:val="24"/>
        </w:rPr>
        <w:t xml:space="preserve">三、项目清单</w:t>
      </w:r>
      <w:r/>
    </w:p>
    <w:tbl>
      <w:tblPr>
        <w:tblStyle w:val="701"/>
        <w:tblW w:w="5303" w:type="pct"/>
        <w:tblInd w:w="-185"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8"/>
        <w:gridCol w:w="2220"/>
        <w:gridCol w:w="1007"/>
        <w:gridCol w:w="724"/>
        <w:gridCol w:w="1444"/>
        <w:gridCol w:w="1096"/>
        <w:gridCol w:w="1337"/>
        <w:gridCol w:w="949"/>
        <w:gridCol w:w="959"/>
      </w:tblGrid>
      <w:tr>
        <w:trPr>
          <w:trHeight w:val="470"/>
        </w:trPr>
        <w:tc>
          <w:tcPr>
            <w:tcW w:w="287"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W w:w="1116"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分项名称</w:t>
            </w:r>
            <w:r/>
          </w:p>
        </w:tc>
        <w:tc>
          <w:tcPr>
            <w:tcW w:w="50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数量</w:t>
            </w:r>
            <w:r/>
          </w:p>
        </w:tc>
        <w:tc>
          <w:tcPr>
            <w:tcW w:w="364"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单位</w:t>
            </w:r>
            <w:r/>
          </w:p>
        </w:tc>
        <w:tc>
          <w:tcPr>
            <w:tcW w:w="544" w:type="dxa"/>
            <w:vAlign w:val="center"/>
            <w:textDirection w:val="lrTb"/>
            <w:noWrap w:val="false"/>
          </w:tcPr>
          <w:p>
            <w:pPr>
              <w:jc w:val="center"/>
              <w:spacing w:line="400" w:lineRule="exact"/>
              <w:rPr>
                <w:color w:val="auto"/>
              </w:rPr>
            </w:pPr>
            <w:r>
              <w:rPr>
                <w:rFonts w:hint="eastAsia"/>
                <w:color w:val="auto"/>
              </w:rPr>
              <w:t xml:space="preserve">单价上限</w:t>
            </w:r>
            <w:r/>
          </w:p>
          <w:p>
            <w:pPr>
              <w:pStyle w:val="1027"/>
              <w:ind w:firstLine="0"/>
              <w:jc w:val="center"/>
              <w:spacing w:line="400" w:lineRule="exact"/>
              <w:rPr>
                <w:rFonts w:hint="eastAsia"/>
                <w:color w:val="auto"/>
              </w:rPr>
            </w:pPr>
            <w:r>
              <w:rPr>
                <w:rFonts w:hint="eastAsia" w:cs="宋体"/>
                <w:bCs/>
                <w:color w:val="auto"/>
                <w:sz w:val="24"/>
                <w:szCs w:val="24"/>
              </w:rPr>
              <w:t xml:space="preserve">（元）</w:t>
            </w:r>
            <w:r/>
          </w:p>
        </w:tc>
        <w:tc>
          <w:tcPr>
            <w:tcW w:w="551"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p>
        </w:tc>
        <w:tc>
          <w:tcPr>
            <w:tcW w:w="672"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所属行业</w:t>
            </w:r>
            <w:r/>
          </w:p>
        </w:tc>
        <w:tc>
          <w:tcPr>
            <w:tcW w:w="477" w:type="dxa"/>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属性</w:t>
            </w:r>
            <w:r/>
          </w:p>
        </w:tc>
        <w:tc>
          <w:tcPr>
            <w:tcW w:w="482" w:type="dxa"/>
            <w:vAlign w:val="center"/>
            <w:textDirection w:val="lrTb"/>
            <w:noWrap w:val="false"/>
          </w:tcPr>
          <w:p>
            <w:pPr>
              <w:jc w:val="center"/>
              <w:spacing w:line="288" w:lineRule="auto"/>
              <w:rPr>
                <w:rFonts w:hint="eastAsia" w:ascii="宋体" w:hAnsi="宋体"/>
                <w:bCs/>
                <w:color w:val="auto"/>
                <w:sz w:val="24"/>
                <w:szCs w:val="24"/>
              </w:rPr>
            </w:pPr>
            <w:r>
              <w:rPr>
                <w:rFonts w:hint="eastAsia" w:ascii="宋体" w:hAnsi="宋体"/>
                <w:bCs/>
                <w:color w:val="auto"/>
                <w:sz w:val="24"/>
                <w:szCs w:val="24"/>
              </w:rPr>
              <w:t xml:space="preserve">政府强制采购节能产品</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P2.5室内LED全彩屏1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58.99</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
                <w:bCs/>
                <w:color w:val="auto"/>
                <w:sz w:val="20"/>
                <w:szCs w:val="20"/>
                <w:lang w:bidi="ar"/>
              </w:rPr>
              <w:t xml:space="preserve">核心产品</w:t>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spacing w:line="264" w:lineRule="auto"/>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P1.86室内LED全彩屏1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18.44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P4.75单色会标屏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8.51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P1.86室内LED全彩屏2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19.36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P1.86室内LED全彩屏3</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27.04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主要产品</w:t>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P2.5室内LED全彩屏2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18.44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P2.5室内LED全彩屏3</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16.39</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P1.86室内LED全彩屏4</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11.47</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视频处理器3</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视频处理器4</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视频处理器5</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异步控制盒</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LED集成管理控制系统软件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配电箱</w:t>
            </w:r>
            <w:r>
              <w:rPr>
                <w:rFonts w:hint="eastAsia" w:ascii="宋体" w:hAnsi="宋体" w:cs="宋体"/>
                <w:color w:val="auto"/>
                <w:sz w:val="20"/>
                <w:szCs w:val="20"/>
                <w:lang w:bidi="ar"/>
              </w:rPr>
              <w:t xml:space="preserve">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配电箱2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配电箱3</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86000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spacing w:line="264" w:lineRule="auto"/>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spacing w:line="264" w:lineRule="auto"/>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屏体框架及包边3</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屏体框架及包边4</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屏体框架及包边5</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屏体框架及包边6</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屏体框架及包边7</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屏体框架及包边8</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11700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通讯电缆及配件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165000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视频会议终端</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视频会议摄像机</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55寸返看屏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返看屏移动架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65寸辅助屏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辅助屏吊架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55寸拼接屏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55寸拼接屏液压支架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55寸立卧式控制终端</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有线键鼠</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46寸拼接屏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10800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高清解码器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46寸拼接屏液压支架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数字媒体发布系统</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信息发布许可</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22寸信息发布屏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5400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32寸信息发布屏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7400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55寸信息发布屏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11900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是</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P4户外LED全彩屏1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25.81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15200</w:t>
            </w:r>
            <w:r/>
          </w:p>
        </w:tc>
        <w:tc>
          <w:tcPr>
            <w:tcW w:w="551" w:type="dxa"/>
            <w:vAlign w:val="center"/>
            <w:textDirection w:val="lrTb"/>
            <w:noWrap w:val="false"/>
          </w:tcPr>
          <w:p>
            <w:pP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P4户外LED全彩屏2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25.81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P4户外LED全彩屏3</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58.99</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P4户外LED全彩屏4</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35.84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视频处理器6</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视频处理器7</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控制软件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配电箱4</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配电箱5</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配电箱6</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屏体框架及包边安装9</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屏体框架及包边10</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86000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屏体框架及包边11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ascii="宋体" w:hAnsi="宋体" w:cs="宋体"/>
                <w:color w:val="auto"/>
                <w:sz w:val="20"/>
                <w:szCs w:val="20"/>
                <w:lang w:bidi="ar"/>
              </w:rPr>
              <w:t xml:space="preserve">强弱电线缆</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高清分布式编解码一体机</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11480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8口千兆交换机</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16口千兆交换机</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高清HDMI矩阵</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70000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集中管理主机</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系统控制编程</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8路继电器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4250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智能电源管理器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移动控制终端</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无线路由器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无线投屏</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墙面控制面板</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12600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数字会议系统主机</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12850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数字会议系统主席单元</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数字会议系统代表单元</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6芯20米延长电缆</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条</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12路调音台</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2830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16路调音台</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数字音频处理器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反馈抑制器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6330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线性音柱音箱</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6950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吸顶音箱</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1220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双通道专业功放1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3190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全频音箱</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6570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双通道专业功放2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3680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无线手持话筒</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无线头戴话筒</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无线天线分配器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11430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无线话筒天线</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5400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50Ω同轴电缆</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桌面话筒架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91</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音箱架</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92</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8路电源时序器</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93</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42U机柜</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94</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24U机柜</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台</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95</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操作台</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96</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弧形操作台</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97</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多媒体插座1</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个</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98</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多媒体插座2</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99</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多媒体插座3</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套</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工业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货物</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r>
        <w:trPr>
          <w:trHeight w:val="414"/>
        </w:trPr>
        <w:tc>
          <w:tcPr>
            <w:tcW w:w="28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w:t>
            </w:r>
            <w:r/>
          </w:p>
        </w:tc>
        <w:tc>
          <w:tcPr>
            <w:tcW w:w="1116"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系统集成</w:t>
            </w:r>
            <w:r/>
          </w:p>
        </w:tc>
        <w:tc>
          <w:tcPr>
            <w:tcW w:w="50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p>
        </w:tc>
        <w:tc>
          <w:tcPr>
            <w:tcW w:w="36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项</w:t>
            </w:r>
            <w:r/>
          </w:p>
        </w:tc>
        <w:tc>
          <w:tcPr>
            <w:tcW w:w="544"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329000</w:t>
            </w:r>
            <w:r/>
          </w:p>
        </w:tc>
        <w:tc>
          <w:tcPr>
            <w:tcW w:w="551"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r>
            <w:r/>
          </w:p>
        </w:tc>
        <w:tc>
          <w:tcPr>
            <w:tcW w:w="67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软件和信息技术服务业</w:t>
            </w:r>
            <w:r/>
          </w:p>
        </w:tc>
        <w:tc>
          <w:tcPr>
            <w:tcW w:w="477"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服务</w:t>
            </w:r>
            <w:r/>
          </w:p>
        </w:tc>
        <w:tc>
          <w:tcPr>
            <w:tcW w:w="482"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bCs/>
                <w:color w:val="auto"/>
                <w:sz w:val="20"/>
                <w:szCs w:val="20"/>
              </w:rPr>
              <w:t xml:space="preserve">/</w:t>
            </w:r>
            <w:r/>
          </w:p>
        </w:tc>
      </w:tr>
    </w:tbl>
    <w:p>
      <w:pPr>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宋体" w:hAnsi="宋体" w:cs="宋体"/>
          <w:b/>
          <w:color w:val="auto"/>
          <w:sz w:val="24"/>
          <w:szCs w:val="24"/>
        </w:rPr>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（一）技术要求</w:t>
      </w:r>
      <w:r/>
    </w:p>
    <w:p>
      <w:pPr>
        <w:ind w:firstLine="480"/>
        <w:spacing w:line="264" w:lineRule="auto"/>
        <w:rPr>
          <w:color w:val="auto"/>
        </w:rPr>
      </w:pPr>
      <w:r>
        <w:rPr>
          <w:rFonts w:hint="eastAsia" w:ascii="宋体" w:hAnsi="宋体" w:cs="宋体"/>
          <w:bCs/>
          <w:color w:val="auto"/>
          <w:sz w:val="24"/>
          <w:szCs w:val="24"/>
        </w:rPr>
        <w:t xml:space="preserve">1.产品技术指标</w:t>
      </w:r>
      <w:r/>
    </w:p>
    <w:tbl>
      <w:tblPr>
        <w:tblStyle w:val="701"/>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448"/>
        <w:gridCol w:w="7696"/>
      </w:tblGrid>
      <w:tr>
        <w:trPr/>
        <w:tc>
          <w:tcPr>
            <w:tcW w:w="660" w:type="dxa"/>
            <w:vAlign w:val="center"/>
            <w:textDirection w:val="lrTb"/>
            <w:noWrap w:val="false"/>
          </w:tcPr>
          <w:p>
            <w:pPr>
              <w:jc w:val="center"/>
              <w:spacing w:line="264" w:lineRule="auto"/>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1448" w:type="dxa"/>
            <w:vAlign w:val="center"/>
            <w:textDirection w:val="lrTb"/>
            <w:noWrap w:val="false"/>
          </w:tcPr>
          <w:p>
            <w:pPr>
              <w:jc w:val="center"/>
              <w:spacing w:line="264" w:lineRule="auto"/>
              <w:rPr>
                <w:rFonts w:hint="eastAsia" w:ascii="宋体" w:hAnsi="宋体" w:cs="宋体"/>
                <w:b/>
                <w:color w:val="auto"/>
                <w:sz w:val="24"/>
                <w:szCs w:val="24"/>
              </w:rPr>
            </w:pPr>
            <w:r>
              <w:rPr>
                <w:rFonts w:hint="eastAsia" w:ascii="宋体" w:hAnsi="宋体" w:cs="宋体"/>
                <w:b/>
                <w:color w:val="auto"/>
                <w:sz w:val="24"/>
                <w:szCs w:val="24"/>
              </w:rPr>
              <w:t xml:space="preserve">产品名称</w:t>
            </w:r>
            <w:r/>
          </w:p>
        </w:tc>
        <w:tc>
          <w:tcPr>
            <w:tcW w:w="7696" w:type="dxa"/>
            <w:vAlign w:val="center"/>
            <w:textDirection w:val="lrTb"/>
            <w:noWrap w:val="false"/>
          </w:tcPr>
          <w:p>
            <w:pPr>
              <w:jc w:val="center"/>
              <w:spacing w:line="264" w:lineRule="auto"/>
              <w:rPr>
                <w:rFonts w:hint="eastAsia" w:ascii="宋体" w:hAnsi="宋体" w:cs="宋体"/>
                <w:b/>
                <w:color w:val="auto"/>
                <w:sz w:val="24"/>
                <w:szCs w:val="24"/>
              </w:rPr>
            </w:pPr>
            <w:r>
              <w:rPr>
                <w:rFonts w:hint="eastAsia" w:ascii="宋体" w:hAnsi="宋体" w:cs="宋体"/>
                <w:b/>
                <w:color w:val="auto"/>
                <w:sz w:val="24"/>
                <w:szCs w:val="24"/>
              </w:rPr>
              <w:t xml:space="preserve">功能、性能、配置要求不低于以下要求</w:t>
            </w:r>
            <w:r/>
          </w:p>
        </w:tc>
      </w:tr>
      <w:tr>
        <w:trPr>
          <w:cantSplit/>
        </w:trPr>
        <w:tc>
          <w:tcPr>
            <w:tcW w:w="660"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P2.5室内</w:t>
            </w:r>
            <w:r>
              <w:rPr>
                <w:rFonts w:hint="eastAsia" w:ascii="宋体" w:hAnsi="宋体" w:cs="宋体"/>
                <w:bCs/>
                <w:color w:val="auto"/>
                <w:sz w:val="20"/>
                <w:szCs w:val="20"/>
              </w:rPr>
              <w:t xml:space="preserve">LED</w:t>
            </w:r>
            <w:r>
              <w:rPr>
                <w:rFonts w:hint="eastAsia" w:ascii="宋体" w:hAnsi="宋体" w:cs="宋体"/>
                <w:color w:val="auto"/>
                <w:sz w:val="20"/>
                <w:szCs w:val="20"/>
                <w:lang w:bidi="ar"/>
              </w:rPr>
              <w:t xml:space="preserve">全彩屏1</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rPr>
                <w:rFonts w:hint="eastAsia" w:ascii="宋体" w:hAnsi="宋体" w:cs="宋体"/>
                <w:color w:val="auto"/>
                <w:sz w:val="20"/>
                <w:szCs w:val="20"/>
              </w:rPr>
              <w:t xml:space="preserve">LED像素结构：LED发光管采用金线封装三合一表贴；像素间距：≤2.5mm；必须采用压铸铝箱体，以保证屏幕的平整度</w:t>
            </w:r>
            <w:r>
              <w:rPr>
                <w:rFonts w:hint="eastAsia" w:ascii="宋体" w:hAnsi="宋体" w:cs="宋体"/>
                <w:color w:val="auto"/>
                <w:sz w:val="20"/>
                <w:szCs w:val="20"/>
                <w:lang w:bidi="ar"/>
              </w:rPr>
              <w:t xml:space="preserve">及一致性。模块，电源，系统卡均可前维护。尺寸不小于10.24m*5.76m；(签订合同时提供相应证明材料，如：白皮书、彩页、手册、网站截图、具有CMA标识的检测报告)</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w:t>
            </w:r>
            <w:r>
              <w:rPr>
                <w:rFonts w:hint="eastAsia" w:ascii="宋体" w:hAnsi="宋体" w:cs="宋体"/>
                <w:color w:val="auto"/>
                <w:sz w:val="20"/>
                <w:szCs w:val="20"/>
                <w:lang w:bidi="ar"/>
              </w:rPr>
              <w:t xml:space="preserve">3、依据 GB/T 20145-2006 标准要求，LED 显示屏辐亮度≤100W·m-2·sr-1，判定级别为 RG0无危害级，LED 屏幕蓝光辐射符合国标无危害级要求；（签订合同时提供具有C</w:t>
            </w:r>
            <w:r>
              <w:rPr>
                <w:rFonts w:ascii="宋体" w:hAnsi="宋体" w:cs="宋体"/>
                <w:color w:val="auto"/>
                <w:sz w:val="20"/>
                <w:szCs w:val="20"/>
                <w:lang w:bidi="ar"/>
              </w:rPr>
              <w:t xml:space="preserve">MA</w:t>
            </w:r>
            <w:r>
              <w:rPr>
                <w:rFonts w:hint="eastAsia" w:ascii="宋体" w:hAnsi="宋体" w:cs="宋体"/>
                <w:color w:val="auto"/>
                <w:sz w:val="20"/>
                <w:szCs w:val="20"/>
                <w:lang w:bidi="ar"/>
              </w:rPr>
              <w:t xml:space="preserve">标识的第三方检测报告）</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w:t>
            </w:r>
            <w:r>
              <w:rPr>
                <w:rFonts w:hint="eastAsia" w:ascii="宋体" w:hAnsi="宋体" w:cs="宋体"/>
                <w:color w:val="auto"/>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10000s不造成对眼睛的红外辐射危害（EIR）；（签订合同时提供具有CMA标识的第三方检测报告）</w:t>
            </w:r>
            <w:r/>
          </w:p>
          <w:p>
            <w:pPr>
              <w:jc w:val="left"/>
              <w:rPr>
                <w:color w:val="auto"/>
              </w:rPr>
            </w:pPr>
            <w:r>
              <w:rPr>
                <w:rFonts w:hint="eastAsia" w:ascii="宋体" w:hAnsi="宋体" w:cs="宋体"/>
                <w:color w:val="auto"/>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color w:val="auto"/>
                <w:sz w:val="20"/>
                <w:szCs w:val="20"/>
              </w:rPr>
            </w:pPr>
            <w:r>
              <w:rPr>
                <w:rFonts w:hint="eastAsia" w:ascii="宋体" w:hAnsi="宋体" w:cs="宋体"/>
                <w:color w:val="auto"/>
                <w:sz w:val="20"/>
                <w:szCs w:val="20"/>
                <w:lang w:bidi="ar"/>
              </w:rPr>
              <w:t xml:space="preserve">7、小间距LED显示屏具有前拆技术，支架远离印制板一</w:t>
            </w:r>
            <w:r>
              <w:rPr>
                <w:rFonts w:hint="eastAsia" w:ascii="宋体" w:hAnsi="宋体" w:cs="宋体"/>
                <w:color w:val="auto"/>
                <w:sz w:val="20"/>
                <w:szCs w:val="20"/>
              </w:rPr>
              <w:t xml:space="preserve">侧设有旋转座，旋转座支撑有轴件，充分利用杠杆原理，实现小间距前拆式安装与维护；</w:t>
            </w:r>
            <w:r/>
          </w:p>
          <w:p>
            <w:pPr>
              <w:jc w:val="left"/>
              <w:rPr>
                <w:rFonts w:hint="eastAsia" w:ascii="宋体" w:hAnsi="宋体" w:cs="宋体"/>
                <w:color w:val="auto"/>
                <w:sz w:val="20"/>
                <w:szCs w:val="20"/>
              </w:rPr>
            </w:pPr>
            <w:r>
              <w:rPr>
                <w:rFonts w:hint="eastAsia" w:ascii="宋体" w:hAnsi="宋体" w:cs="宋体"/>
                <w:color w:val="auto"/>
                <w:sz w:val="20"/>
                <w:szCs w:val="20"/>
              </w:rPr>
              <w:t xml:space="preserve">8、采用HUB、接收卡一体化设计，具备HDMI 2.0接口，集成主控板卡和 HUB 数据板；</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▲9、支持无线接插件浮动连接件接插方式，磁吸设计，多向定位精度调节设计，箱体支持 6 个方向的精度调节。</w:t>
            </w:r>
            <w:r>
              <w:rPr>
                <w:rFonts w:hint="eastAsia" w:ascii="宋体" w:hAnsi="宋体" w:cs="宋体"/>
                <w:color w:val="auto"/>
                <w:sz w:val="20"/>
                <w:szCs w:val="20"/>
                <w:lang w:bidi="ar"/>
              </w:rPr>
              <w:t xml:space="preserve">（签订合同时提供具有CMA标识的第三方检测报告）</w:t>
            </w:r>
            <w:r/>
          </w:p>
          <w:p>
            <w:pPr>
              <w:numPr>
                <w:ilvl w:val="0"/>
                <w:numId w:val="5"/>
              </w:numPr>
              <w:rPr>
                <w:rFonts w:hint="eastAsia" w:ascii="宋体" w:hAnsi="宋体" w:cs="宋体"/>
                <w:color w:val="auto"/>
                <w:sz w:val="20"/>
                <w:szCs w:val="20"/>
                <w:lang w:bidi="ar"/>
              </w:rPr>
            </w:pPr>
            <w:r>
              <w:rPr>
                <w:rFonts w:hint="eastAsia" w:ascii="宋体" w:hAnsi="宋体" w:cs="宋体"/>
                <w:color w:val="auto"/>
                <w:sz w:val="20"/>
                <w:szCs w:val="20"/>
                <w:lang w:bidi="ar"/>
              </w:rPr>
              <w:t xml:space="preserve">白平衡亮度：≥</w:t>
            </w:r>
            <w:r>
              <w:rPr>
                <w:rFonts w:ascii="宋体" w:hAnsi="宋体" w:cs="宋体"/>
                <w:color w:val="auto"/>
                <w:sz w:val="20"/>
                <w:szCs w:val="20"/>
                <w:lang w:bidi="ar"/>
              </w:rPr>
              <w:t xml:space="preserve">5</w:t>
            </w:r>
            <w:r>
              <w:rPr>
                <w:rFonts w:hint="eastAsia" w:ascii="宋体" w:hAnsi="宋体" w:cs="宋体"/>
                <w:color w:val="auto"/>
                <w:sz w:val="20"/>
                <w:szCs w:val="20"/>
                <w:lang w:bidi="ar"/>
              </w:rPr>
              <w:t xml:space="preserve">00cd/㎡；视角：≥1</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0°；刷新频率：≥3840Hz；对比度≥5</w:t>
            </w:r>
            <w:r>
              <w:rPr>
                <w:rFonts w:ascii="宋体" w:hAnsi="宋体" w:cs="宋体"/>
                <w:color w:val="auto"/>
                <w:sz w:val="20"/>
                <w:szCs w:val="20"/>
                <w:lang w:bidi="ar"/>
              </w:rPr>
              <w:t xml:space="preserve">0</w:t>
            </w:r>
            <w:r>
              <w:rPr>
                <w:rFonts w:hint="eastAsia" w:ascii="宋体" w:hAnsi="宋体" w:cs="宋体"/>
                <w:color w:val="auto"/>
                <w:sz w:val="20"/>
                <w:szCs w:val="20"/>
                <w:lang w:bidi="ar"/>
              </w:rPr>
              <w:t xml:space="preserve">00：1；换帧频率：≥60 Hz；平整度：≤0.5mm；灰度等级≥16bit；峰值功耗≤</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00W/㎡；单点校正功能：具有单个发光管亮度校正与颜色的校正；显示效果：多种显示画面应无同亮，暗亮（鬼影和拖尾）的现象；</w:t>
            </w:r>
            <w:r/>
          </w:p>
          <w:p>
            <w:pPr>
              <w:pStyle w:val="702"/>
              <w:numPr>
                <w:ilvl w:val="0"/>
                <w:numId w:val="0"/>
              </w:numPr>
              <w:rPr>
                <w:rFonts w:hint="default"/>
                <w:color w:val="auto"/>
                <w:lang w:val="en-US" w:eastAsia="zh-CN"/>
              </w:rPr>
            </w:pPr>
            <w:r>
              <w:rPr>
                <w:rFonts w:hint="eastAsia" w:ascii="宋体" w:hAnsi="宋体" w:eastAsia="宋体" w:cs="宋体"/>
                <w:color w:val="auto"/>
                <w:sz w:val="20"/>
                <w:szCs w:val="20"/>
                <w:lang w:val="en-US" w:eastAsia="zh-CN" w:bidi="ar"/>
              </w:rPr>
              <w:t xml:space="preserve">11、</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85"/>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P1.86室内LED全彩屏1</w:t>
            </w:r>
            <w:r/>
          </w:p>
        </w:tc>
        <w:tc>
          <w:tcPr>
            <w:tcW w:w="7696" w:type="dxa"/>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1、LED像素结构：LED发光管采用金线封装三合一表贴；像素间距：≤1.86mm；必须采用压铸铝箱体，以保证屏幕的平整度及一致性。模块，电源，系统卡均可前维护。尺寸不小于3.84m*2.4m*2块；</w:t>
            </w:r>
            <w:r>
              <w:rPr>
                <w:rFonts w:hint="eastAsia" w:ascii="宋体" w:hAnsi="宋体" w:cs="宋体"/>
                <w:color w:val="auto"/>
                <w:sz w:val="20"/>
                <w:szCs w:val="20"/>
                <w:lang w:bidi="ar"/>
              </w:rPr>
              <w:t xml:space="preserve">(签订合同时提供相应证明材料，如：白皮书、彩页、手册、网站截图、具有CMA标识的检测报告)</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2、白平衡亮度：≥</w:t>
            </w:r>
            <w:r>
              <w:rPr>
                <w:rFonts w:ascii="宋体" w:hAnsi="宋体" w:cs="宋体"/>
                <w:color w:val="auto"/>
                <w:sz w:val="20"/>
                <w:szCs w:val="20"/>
                <w:lang w:bidi="ar"/>
              </w:rPr>
              <w:t xml:space="preserve">5</w:t>
            </w:r>
            <w:r>
              <w:rPr>
                <w:rFonts w:hint="eastAsia" w:ascii="宋体" w:hAnsi="宋体" w:cs="宋体"/>
                <w:color w:val="auto"/>
                <w:sz w:val="20"/>
                <w:szCs w:val="20"/>
                <w:lang w:bidi="ar"/>
              </w:rPr>
              <w:t xml:space="preserve">00cd/㎡；视角：≥1</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0°；刷新频率：≥3840Hz；对比度≥5</w:t>
            </w:r>
            <w:r>
              <w:rPr>
                <w:rFonts w:ascii="宋体" w:hAnsi="宋体" w:cs="宋体"/>
                <w:color w:val="auto"/>
                <w:sz w:val="20"/>
                <w:szCs w:val="20"/>
                <w:lang w:bidi="ar"/>
              </w:rPr>
              <w:t xml:space="preserve">0</w:t>
            </w:r>
            <w:r>
              <w:rPr>
                <w:rFonts w:hint="eastAsia" w:ascii="宋体" w:hAnsi="宋体" w:cs="宋体"/>
                <w:color w:val="auto"/>
                <w:sz w:val="20"/>
                <w:szCs w:val="20"/>
                <w:lang w:bidi="ar"/>
              </w:rPr>
              <w:t xml:space="preserve">00：1；换帧频率：≥60 Hz；平整度：≤0.5mm；灰度等级≥16bit；峰值功耗≤</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3、LED显示屏通过</w:t>
            </w:r>
            <w:r>
              <w:rPr>
                <w:rFonts w:ascii="宋体" w:hAnsi="宋体" w:cs="宋体"/>
                <w:color w:val="auto"/>
                <w:sz w:val="20"/>
                <w:szCs w:val="20"/>
                <w:lang w:bidi="ar"/>
              </w:rPr>
              <w:t xml:space="preserve">GB/T 20145-2006</w:t>
            </w:r>
            <w:r>
              <w:rPr>
                <w:rFonts w:hint="eastAsia" w:ascii="宋体" w:hAnsi="宋体" w:cs="宋体"/>
                <w:color w:val="auto"/>
                <w:sz w:val="20"/>
                <w:szCs w:val="20"/>
                <w:lang w:bidi="ar"/>
              </w:rPr>
              <w:t xml:space="preserve">蓝光危害测试；</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4、LED模块通过V-0级材料的可燃性试验；</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6、显示屏通过GB/T16442.3-2014紫外老化试验；</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color w:val="auto"/>
                <w:sz w:val="20"/>
                <w:szCs w:val="20"/>
                <w:lang w:bidi="ar"/>
              </w:rPr>
            </w:pPr>
            <w:r>
              <w:rPr>
                <w:rFonts w:hint="eastAsia" w:ascii="宋体" w:hAnsi="宋体" w:cs="宋体"/>
                <w:color w:val="auto"/>
                <w:sz w:val="20"/>
                <w:szCs w:val="20"/>
              </w:rPr>
              <w:t xml:space="preserve">8、支持无线接插件浮动连接件接插方式，磁吸设计，多向定位精度调节设计，箱体支持 6 个方向的精度调节；</w:t>
            </w:r>
            <w:r/>
          </w:p>
          <w:p>
            <w:pPr>
              <w:jc w:val="left"/>
              <w:rPr>
                <w:rFonts w:hint="eastAsia" w:ascii="宋体" w:hAnsi="宋体" w:cs="宋体"/>
                <w:b/>
                <w:color w:val="auto"/>
                <w:sz w:val="20"/>
                <w:szCs w:val="20"/>
                <w:lang w:bidi="ar"/>
              </w:rPr>
            </w:pPr>
            <w:r>
              <w:rPr>
                <w:rFonts w:hint="eastAsia" w:ascii="宋体" w:hAnsi="宋体" w:cs="宋体"/>
                <w:color w:val="auto"/>
                <w:sz w:val="20"/>
                <w:szCs w:val="20"/>
                <w:lang w:bidi="ar"/>
              </w:rPr>
              <w:t xml:space="preserve">9、依据标准对外界机械碰撞的防护等级的测试方法及测试器具，摆锤重量</w:t>
            </w:r>
            <w:r>
              <w:rPr>
                <w:rFonts w:ascii="宋体" w:hAnsi="宋体" w:cs="宋体"/>
                <w:color w:val="auto"/>
                <w:sz w:val="20"/>
                <w:szCs w:val="20"/>
                <w:lang w:bidi="ar"/>
              </w:rPr>
              <w:t xml:space="preserve"> 5kg,跌落高度 400mm,冲击能量20J,在样品表面选 5 </w:t>
            </w:r>
            <w:r>
              <w:rPr>
                <w:rFonts w:hint="eastAsia" w:ascii="宋体" w:hAnsi="宋体" w:cs="宋体"/>
                <w:color w:val="auto"/>
                <w:sz w:val="20"/>
                <w:szCs w:val="20"/>
                <w:lang w:bidi="ar"/>
              </w:rPr>
              <w:t xml:space="preserve">个点，每个点冲击</w:t>
            </w:r>
            <w:r>
              <w:rPr>
                <w:rFonts w:ascii="宋体" w:hAnsi="宋体" w:cs="宋体"/>
                <w:color w:val="auto"/>
                <w:sz w:val="20"/>
                <w:szCs w:val="20"/>
                <w:lang w:bidi="ar"/>
              </w:rPr>
              <w:t xml:space="preserve"> 1 </w:t>
            </w:r>
            <w:r>
              <w:rPr>
                <w:rFonts w:hint="eastAsia" w:ascii="宋体" w:hAnsi="宋体" w:cs="宋体"/>
                <w:color w:val="auto"/>
                <w:sz w:val="20"/>
                <w:szCs w:val="20"/>
                <w:lang w:bidi="ar"/>
              </w:rPr>
              <w:t xml:space="preserve">次，显示屏箱体表面通过IK10 碰撞防护等级要求，表面无损坏，通电后可以正常显示；</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10、LED 显示屏通过过流、断路、短路、过压、欠压、超温、超负荷、断电等测试。</w:t>
            </w:r>
            <w:r/>
          </w:p>
          <w:p>
            <w:pPr>
              <w:pStyle w:val="702"/>
              <w:ind w:left="0" w:firstLine="0"/>
              <w:rPr>
                <w:rFonts w:hint="default" w:eastAsia="宋体"/>
                <w:color w:val="auto"/>
                <w:lang w:val="en-US" w:eastAsia="zh-CN"/>
              </w:rPr>
            </w:pPr>
            <w:r>
              <w:rPr>
                <w:rFonts w:hint="eastAsia" w:ascii="宋体" w:hAnsi="宋体" w:eastAsia="宋体" w:cs="宋体"/>
                <w:color w:val="auto"/>
                <w:sz w:val="20"/>
                <w:szCs w:val="20"/>
                <w:lang w:val="en-US" w:eastAsia="zh-CN" w:bidi="ar"/>
              </w:rPr>
              <w:t xml:space="preserve">11、</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P4.75单色会标屏</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1、LED显示屏尺寸屏幕尺寸≥13.984m*0.608m；</w:t>
            </w:r>
            <w:r/>
          </w:p>
          <w:p>
            <w:pPr>
              <w:jc w:val="left"/>
              <w:rPr>
                <w:rFonts w:hint="eastAsia" w:ascii="宋体" w:hAnsi="宋体" w:cs="宋体"/>
                <w:color w:val="auto"/>
                <w:sz w:val="20"/>
                <w:szCs w:val="20"/>
              </w:rPr>
            </w:pPr>
            <w:r>
              <w:rPr>
                <w:rFonts w:hint="eastAsia" w:ascii="宋体" w:hAnsi="宋体" w:cs="宋体"/>
                <w:color w:val="auto"/>
                <w:sz w:val="20"/>
                <w:szCs w:val="20"/>
              </w:rPr>
              <w:t xml:space="preserve">2、像素间距：≤4.75mm；模块，电源，系统卡均可前维护；</w:t>
            </w:r>
            <w:r/>
          </w:p>
          <w:p>
            <w:pPr>
              <w:jc w:val="left"/>
              <w:rPr>
                <w:rFonts w:hint="eastAsia" w:ascii="宋体" w:hAnsi="宋体" w:cs="宋体"/>
                <w:color w:val="auto"/>
                <w:sz w:val="20"/>
                <w:szCs w:val="20"/>
              </w:rPr>
            </w:pPr>
            <w:r>
              <w:rPr>
                <w:rFonts w:hint="eastAsia" w:ascii="宋体" w:hAnsi="宋体" w:cs="宋体"/>
                <w:color w:val="auto"/>
                <w:sz w:val="20"/>
                <w:szCs w:val="20"/>
              </w:rPr>
              <w:t xml:space="preserve">3、白平衡亮度：≥300cd/㎡;视角：≥160°；</w:t>
            </w:r>
            <w:r/>
          </w:p>
          <w:p>
            <w:pPr>
              <w:jc w:val="left"/>
              <w:rPr>
                <w:rFonts w:hint="eastAsia" w:ascii="宋体" w:hAnsi="宋体" w:cs="宋体"/>
                <w:color w:val="auto"/>
                <w:sz w:val="20"/>
                <w:szCs w:val="20"/>
              </w:rPr>
            </w:pPr>
            <w:r>
              <w:rPr>
                <w:rFonts w:hint="eastAsia" w:ascii="宋体" w:hAnsi="宋体" w:cs="宋体"/>
                <w:color w:val="auto"/>
                <w:sz w:val="20"/>
                <w:szCs w:val="20"/>
              </w:rPr>
              <w:t xml:space="preserve">4、对比度≥3500：1;换帧频率：≥60 Hz；</w:t>
            </w:r>
            <w:r/>
          </w:p>
          <w:p>
            <w:pPr>
              <w:jc w:val="left"/>
              <w:rPr>
                <w:rFonts w:hint="eastAsia" w:ascii="宋体" w:hAnsi="宋体" w:cs="宋体"/>
                <w:color w:val="auto"/>
                <w:sz w:val="20"/>
                <w:szCs w:val="20"/>
              </w:rPr>
            </w:pPr>
            <w:r>
              <w:rPr>
                <w:rFonts w:hint="eastAsia" w:ascii="宋体" w:hAnsi="宋体" w:cs="宋体"/>
                <w:color w:val="auto"/>
                <w:sz w:val="20"/>
                <w:szCs w:val="20"/>
              </w:rPr>
              <w:t xml:space="preserve">5、平整度：≤0.5mm;灰度等级≥16bit；</w:t>
            </w:r>
            <w:r/>
          </w:p>
          <w:p>
            <w:pPr>
              <w:jc w:val="left"/>
              <w:rPr>
                <w:rFonts w:hint="eastAsia" w:ascii="宋体" w:hAnsi="宋体" w:cs="宋体"/>
                <w:color w:val="auto"/>
                <w:sz w:val="20"/>
                <w:szCs w:val="20"/>
              </w:rPr>
            </w:pPr>
            <w:r>
              <w:rPr>
                <w:rFonts w:hint="eastAsia" w:ascii="宋体" w:hAnsi="宋体" w:cs="宋体"/>
                <w:color w:val="auto"/>
                <w:sz w:val="20"/>
                <w:szCs w:val="20"/>
              </w:rPr>
              <w:t xml:space="preserve">6、具有单个发光管亮度校正与颜色的校正；</w:t>
            </w:r>
            <w:r/>
          </w:p>
          <w:p>
            <w:pPr>
              <w:jc w:val="left"/>
              <w:rPr>
                <w:rFonts w:hint="eastAsia" w:ascii="宋体" w:hAnsi="宋体" w:cs="宋体"/>
                <w:color w:val="auto"/>
                <w:sz w:val="20"/>
                <w:szCs w:val="20"/>
              </w:rPr>
            </w:pPr>
            <w:r>
              <w:rPr>
                <w:rFonts w:hint="eastAsia" w:ascii="宋体" w:hAnsi="宋体" w:cs="宋体"/>
                <w:color w:val="auto"/>
                <w:sz w:val="20"/>
                <w:szCs w:val="20"/>
              </w:rPr>
              <w:t xml:space="preserve">7、多种显示画面应无同亮，暗亮（鬼影和拖尾）的现象。</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P1.86室内LED全彩屏2</w:t>
            </w:r>
            <w:r/>
          </w:p>
        </w:tc>
        <w:tc>
          <w:tcPr>
            <w:tcW w:w="7696" w:type="dxa"/>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1、LED像素结构：LED发光管采用金线封装三合一表贴；像素间距：≤1.86mm；必须采用压铸铝箱体，以保证屏幕的平整度及一致性。模块，电源，系统卡均可前维护。尺寸不小于5.76m*3.36m；</w:t>
            </w:r>
            <w:r>
              <w:rPr>
                <w:rFonts w:hint="eastAsia" w:ascii="宋体" w:hAnsi="宋体" w:cs="宋体"/>
                <w:color w:val="auto"/>
                <w:sz w:val="20"/>
                <w:szCs w:val="20"/>
                <w:lang w:bidi="ar"/>
              </w:rPr>
              <w:t xml:space="preserve">(签订合同时提供相应证明材料，如：白皮书、彩页、手册、网站截图、具有CMA标识的检测报告)</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2、白平衡亮度：≥</w:t>
            </w:r>
            <w:r>
              <w:rPr>
                <w:rFonts w:ascii="宋体" w:hAnsi="宋体" w:cs="宋体"/>
                <w:color w:val="auto"/>
                <w:sz w:val="20"/>
                <w:szCs w:val="20"/>
                <w:lang w:bidi="ar"/>
              </w:rPr>
              <w:t xml:space="preserve">5</w:t>
            </w:r>
            <w:r>
              <w:rPr>
                <w:rFonts w:hint="eastAsia" w:ascii="宋体" w:hAnsi="宋体" w:cs="宋体"/>
                <w:color w:val="auto"/>
                <w:sz w:val="20"/>
                <w:szCs w:val="20"/>
                <w:lang w:bidi="ar"/>
              </w:rPr>
              <w:t xml:space="preserve">00cd/㎡；视角：≥1</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0°；刷新频率：≥3840Hz；对比度≥5</w:t>
            </w:r>
            <w:r>
              <w:rPr>
                <w:rFonts w:ascii="宋体" w:hAnsi="宋体" w:cs="宋体"/>
                <w:color w:val="auto"/>
                <w:sz w:val="20"/>
                <w:szCs w:val="20"/>
                <w:lang w:bidi="ar"/>
              </w:rPr>
              <w:t xml:space="preserve">0</w:t>
            </w:r>
            <w:r>
              <w:rPr>
                <w:rFonts w:hint="eastAsia" w:ascii="宋体" w:hAnsi="宋体" w:cs="宋体"/>
                <w:color w:val="auto"/>
                <w:sz w:val="20"/>
                <w:szCs w:val="20"/>
                <w:lang w:bidi="ar"/>
              </w:rPr>
              <w:t xml:space="preserve">00：1；换帧频率：≥60 Hz；平整度：≤0.5mm；灰度等级≥16bit；峰值功耗≤</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3、LED显示屏通过</w:t>
            </w:r>
            <w:r>
              <w:rPr>
                <w:rFonts w:ascii="宋体" w:hAnsi="宋体" w:cs="宋体"/>
                <w:color w:val="auto"/>
                <w:sz w:val="20"/>
                <w:szCs w:val="20"/>
                <w:lang w:bidi="ar"/>
              </w:rPr>
              <w:t xml:space="preserve">GB/T 20145-2006</w:t>
            </w:r>
            <w:r>
              <w:rPr>
                <w:rFonts w:hint="eastAsia" w:ascii="宋体" w:hAnsi="宋体" w:cs="宋体"/>
                <w:color w:val="auto"/>
                <w:sz w:val="20"/>
                <w:szCs w:val="20"/>
                <w:lang w:bidi="ar"/>
              </w:rPr>
              <w:t xml:space="preserve">蓝光危害测试；</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4、LED模块通过V-0级材料的可燃性试验；</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6、显示屏通过GB/T16442.3-2014紫外老化试验；</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color w:val="auto"/>
                <w:sz w:val="20"/>
                <w:szCs w:val="20"/>
                <w:lang w:bidi="ar"/>
              </w:rPr>
            </w:pPr>
            <w:r>
              <w:rPr>
                <w:rFonts w:hint="eastAsia" w:ascii="宋体" w:hAnsi="宋体" w:cs="宋体"/>
                <w:color w:val="auto"/>
                <w:sz w:val="20"/>
                <w:szCs w:val="20"/>
              </w:rPr>
              <w:t xml:space="preserve">8、支持无线接插件浮动连接件接插方式，磁吸设计，多向定位精度调节设计，箱体支持 6 个方向的精度调节；</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9、依据标准对外界机械碰撞的防护等级的测试方法及测试器具，摆锤重量</w:t>
            </w:r>
            <w:r>
              <w:rPr>
                <w:rFonts w:ascii="宋体" w:hAnsi="宋体" w:cs="宋体"/>
                <w:color w:val="auto"/>
                <w:sz w:val="20"/>
                <w:szCs w:val="20"/>
                <w:lang w:bidi="ar"/>
              </w:rPr>
              <w:t xml:space="preserve"> 5kg,跌落高度</w:t>
            </w:r>
            <w:r>
              <w:rPr>
                <w:rFonts w:hint="eastAsia" w:ascii="宋体" w:hAnsi="宋体" w:cs="宋体"/>
                <w:color w:val="auto"/>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10、LED 显示屏通过过流、断路、短路、过压、欠压、超温、超负荷、断电等测试。</w:t>
            </w:r>
            <w:r/>
          </w:p>
          <w:p>
            <w:pPr>
              <w:pStyle w:val="702"/>
              <w:ind w:left="0" w:firstLine="0"/>
              <w:rPr>
                <w:rFonts w:hint="eastAsia"/>
                <w:color w:val="auto"/>
              </w:rPr>
            </w:pPr>
            <w:r>
              <w:rPr>
                <w:rFonts w:hint="eastAsia" w:ascii="宋体" w:hAnsi="宋体" w:eastAsia="宋体" w:cs="宋体"/>
                <w:color w:val="auto"/>
                <w:sz w:val="20"/>
                <w:szCs w:val="20"/>
                <w:lang w:val="en-US" w:eastAsia="zh-CN" w:bidi="ar"/>
              </w:rPr>
              <w:t xml:space="preserve">11、</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P1.86室内LED全彩屏3</w:t>
            </w:r>
            <w:r/>
          </w:p>
        </w:tc>
        <w:tc>
          <w:tcPr>
            <w:tcW w:w="7696" w:type="dxa"/>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rPr>
              <w:t xml:space="preserve">1、LED像素结构：LED发光管采用金线封装三合一表贴；像素间距：≤1.86mm；必须采用压铸铝箱体，以保证屏幕的平整度及一致性。模块，电源，系统卡均可前维护。尺寸不小于7.04m*3.84m；</w:t>
            </w:r>
            <w:r>
              <w:rPr>
                <w:rFonts w:hint="eastAsia" w:ascii="宋体" w:hAnsi="宋体" w:cs="宋体"/>
                <w:color w:val="auto"/>
                <w:sz w:val="20"/>
                <w:szCs w:val="20"/>
                <w:lang w:bidi="ar"/>
              </w:rPr>
              <w:t xml:space="preserve">(签订合同时提供相应证明材料，如：白皮书、彩页、手册、网站截图、具有CMA标识的检测报告)</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2、白平衡亮度：≥</w:t>
            </w:r>
            <w:r>
              <w:rPr>
                <w:rFonts w:ascii="宋体" w:hAnsi="宋体" w:cs="宋体"/>
                <w:color w:val="auto"/>
                <w:sz w:val="20"/>
                <w:szCs w:val="20"/>
                <w:lang w:bidi="ar"/>
              </w:rPr>
              <w:t xml:space="preserve">5</w:t>
            </w:r>
            <w:r>
              <w:rPr>
                <w:rFonts w:hint="eastAsia" w:ascii="宋体" w:hAnsi="宋体" w:cs="宋体"/>
                <w:color w:val="auto"/>
                <w:sz w:val="20"/>
                <w:szCs w:val="20"/>
                <w:lang w:bidi="ar"/>
              </w:rPr>
              <w:t xml:space="preserve">00cd/㎡；视角：≥1</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0°；刷新频率：≥3840Hz；对比度≥5</w:t>
            </w:r>
            <w:r>
              <w:rPr>
                <w:rFonts w:ascii="宋体" w:hAnsi="宋体" w:cs="宋体"/>
                <w:color w:val="auto"/>
                <w:sz w:val="20"/>
                <w:szCs w:val="20"/>
                <w:lang w:bidi="ar"/>
              </w:rPr>
              <w:t xml:space="preserve">0</w:t>
            </w:r>
            <w:r>
              <w:rPr>
                <w:rFonts w:hint="eastAsia" w:ascii="宋体" w:hAnsi="宋体" w:cs="宋体"/>
                <w:color w:val="auto"/>
                <w:sz w:val="20"/>
                <w:szCs w:val="20"/>
                <w:lang w:bidi="ar"/>
              </w:rPr>
              <w:t xml:space="preserve">00：1；换帧频率：≥60 Hz；平整度：≤0.5mm；灰度等级≥16bit；峰值功耗≤</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3、LED显示屏通过</w:t>
            </w:r>
            <w:r>
              <w:rPr>
                <w:rFonts w:ascii="宋体" w:hAnsi="宋体" w:cs="宋体"/>
                <w:color w:val="auto"/>
                <w:sz w:val="20"/>
                <w:szCs w:val="20"/>
                <w:lang w:bidi="ar"/>
              </w:rPr>
              <w:t xml:space="preserve">GB/T 20145-2006</w:t>
            </w:r>
            <w:r>
              <w:rPr>
                <w:rFonts w:hint="eastAsia" w:ascii="宋体" w:hAnsi="宋体" w:cs="宋体"/>
                <w:color w:val="auto"/>
                <w:sz w:val="20"/>
                <w:szCs w:val="20"/>
                <w:lang w:bidi="ar"/>
              </w:rPr>
              <w:t xml:space="preserve">蓝光危害测试；</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4、LED模块通过V-0级材料的可燃性试验；</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6、显示屏通过GB/T16442.3-2014紫外老化试验；</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color w:val="auto"/>
                <w:sz w:val="20"/>
                <w:szCs w:val="20"/>
                <w:lang w:bidi="ar"/>
              </w:rPr>
            </w:pPr>
            <w:r>
              <w:rPr>
                <w:rFonts w:hint="eastAsia" w:ascii="宋体" w:hAnsi="宋体" w:cs="宋体"/>
                <w:color w:val="auto"/>
                <w:sz w:val="20"/>
                <w:szCs w:val="20"/>
              </w:rPr>
              <w:t xml:space="preserve">8、支持无线接插件浮动连接件接插方式，磁吸设计，多向定位精度调节设计，箱体支持 6 个方向的精度调节；</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9、依据标准对外界机械碰撞的防护等级的测试方法及测试器具，摆锤重量</w:t>
            </w:r>
            <w:r>
              <w:rPr>
                <w:rFonts w:ascii="宋体" w:hAnsi="宋体" w:cs="宋体"/>
                <w:color w:val="auto"/>
                <w:sz w:val="20"/>
                <w:szCs w:val="20"/>
                <w:lang w:bidi="ar"/>
              </w:rPr>
              <w:t xml:space="preserve"> 5kg,跌落高度</w:t>
            </w:r>
            <w:r>
              <w:rPr>
                <w:rFonts w:hint="eastAsia" w:ascii="宋体" w:hAnsi="宋体" w:cs="宋体"/>
                <w:color w:val="auto"/>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10、LED 显示屏通过过流、断路、短路、过压、欠压、超温、超负荷、断电等测试。</w:t>
            </w:r>
            <w:r/>
          </w:p>
          <w:p>
            <w:pPr>
              <w:pStyle w:val="702"/>
              <w:ind w:left="0" w:firstLine="0"/>
              <w:rPr>
                <w:rFonts w:hint="eastAsia"/>
                <w:color w:val="auto"/>
              </w:rPr>
            </w:pPr>
            <w:r>
              <w:rPr>
                <w:rFonts w:hint="eastAsia" w:ascii="宋体" w:hAnsi="宋体" w:eastAsia="宋体" w:cs="宋体"/>
                <w:color w:val="auto"/>
                <w:sz w:val="20"/>
                <w:szCs w:val="20"/>
                <w:lang w:val="en-US" w:eastAsia="zh-CN" w:bidi="ar"/>
              </w:rPr>
              <w:t xml:space="preserve">11、</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P2.5室内LED全彩屏2</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rPr>
                <w:rFonts w:hint="eastAsia" w:ascii="宋体" w:hAnsi="宋体" w:cs="宋体"/>
                <w:color w:val="auto"/>
                <w:sz w:val="20"/>
                <w:szCs w:val="20"/>
              </w:rPr>
              <w:t xml:space="preserve">LED像素结构：LED发光管采用金线封装三合一表贴；像素间距：≤2.5mm；需采用压铸铝箱体，以保证屏幕的平整度及一致性。模块，电源，系统卡均可前维护。尺寸不小于7.68m*2.4m；</w:t>
            </w:r>
            <w:r>
              <w:rPr>
                <w:rFonts w:hint="eastAsia" w:ascii="宋体" w:hAnsi="宋体" w:cs="宋体"/>
                <w:color w:val="auto"/>
                <w:sz w:val="20"/>
                <w:szCs w:val="20"/>
                <w:lang w:bidi="ar"/>
              </w:rPr>
              <w:t xml:space="preserve">(签订合同时提供相应证明材料，如：白皮书、彩页、手册、网站截图、具有CMA标识的检测报告)</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3、依据 GB/T 20145-2006 标准要求，LED 显示屏辐亮度≤100W·m-2·sr-1，判定级别为 RG0无危害级，LED 屏幕蓝光辐射符合国标无危害级要求；</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jc w:val="left"/>
              <w:rPr>
                <w:color w:val="auto"/>
              </w:rPr>
            </w:pPr>
            <w:r>
              <w:rPr>
                <w:rFonts w:hint="eastAsia" w:ascii="宋体" w:hAnsi="宋体" w:cs="宋体"/>
                <w:color w:val="auto"/>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color w:val="auto"/>
                <w:sz w:val="20"/>
                <w:szCs w:val="20"/>
              </w:rPr>
            </w:pPr>
            <w:r>
              <w:rPr>
                <w:rFonts w:hint="eastAsia" w:ascii="宋体" w:hAnsi="宋体" w:cs="宋体"/>
                <w:color w:val="auto"/>
                <w:sz w:val="20"/>
                <w:szCs w:val="20"/>
                <w:lang w:bidi="ar"/>
              </w:rPr>
              <w:t xml:space="preserve">7、小间距LED显示屏具有前拆技术，支架远离印制板一</w:t>
            </w:r>
            <w:r>
              <w:rPr>
                <w:rFonts w:hint="eastAsia" w:ascii="宋体" w:hAnsi="宋体" w:cs="宋体"/>
                <w:color w:val="auto"/>
                <w:sz w:val="20"/>
                <w:szCs w:val="20"/>
              </w:rPr>
              <w:t xml:space="preserve">侧设有旋转座，旋转座支撑有轴件，充分利用杠杆原理，实现小间距前拆式安装与维护；</w:t>
            </w:r>
            <w:r/>
          </w:p>
          <w:p>
            <w:pPr>
              <w:jc w:val="left"/>
              <w:rPr>
                <w:rFonts w:hint="eastAsia" w:ascii="宋体" w:hAnsi="宋体" w:cs="宋体"/>
                <w:color w:val="auto"/>
                <w:sz w:val="20"/>
                <w:szCs w:val="20"/>
              </w:rPr>
            </w:pPr>
            <w:r>
              <w:rPr>
                <w:rFonts w:hint="eastAsia" w:ascii="宋体" w:hAnsi="宋体" w:cs="宋体"/>
                <w:color w:val="auto"/>
                <w:sz w:val="20"/>
                <w:szCs w:val="20"/>
              </w:rPr>
              <w:t xml:space="preserve">8、采用HUB、接收卡一体化设计，具备HDMI 2.0接口，集成主控板卡和 HUB 数据板；</w:t>
            </w:r>
            <w:r/>
          </w:p>
          <w:p>
            <w:pPr>
              <w:jc w:val="left"/>
              <w:rPr>
                <w:rFonts w:hint="eastAsia" w:ascii="宋体" w:hAnsi="宋体" w:cs="宋体"/>
                <w:color w:val="auto"/>
                <w:sz w:val="20"/>
                <w:szCs w:val="20"/>
              </w:rPr>
            </w:pPr>
            <w:r>
              <w:rPr>
                <w:rFonts w:hint="eastAsia" w:ascii="宋体" w:hAnsi="宋体" w:cs="宋体"/>
                <w:color w:val="auto"/>
                <w:sz w:val="20"/>
                <w:szCs w:val="20"/>
              </w:rPr>
              <w:t xml:space="preserve">9、支持无线接插件浮动连接件接插方式，磁吸设计，多向定位精度调节设计，箱体支持 6 个方向的精度调节。</w:t>
            </w:r>
            <w:r/>
          </w:p>
          <w:p>
            <w:pPr>
              <w:pStyle w:val="702"/>
              <w:ind w:left="0" w:firstLine="0"/>
              <w:rPr>
                <w:rFonts w:hint="eastAsia" w:ascii="宋体" w:hAnsi="宋体" w:cs="宋体"/>
                <w:color w:val="auto"/>
                <w:sz w:val="20"/>
                <w:szCs w:val="20"/>
                <w:lang w:bidi="ar"/>
              </w:rPr>
            </w:pPr>
            <w:r>
              <w:rPr>
                <w:rFonts w:hint="eastAsia" w:ascii="宋体" w:hAnsi="宋体" w:eastAsia="宋体" w:cs="宋体"/>
                <w:color w:val="auto"/>
                <w:sz w:val="20"/>
                <w:szCs w:val="20"/>
                <w:lang w:val="en-US" w:eastAsia="zh-CN" w:bidi="ar"/>
              </w:rPr>
              <w:t xml:space="preserve">10、</w:t>
            </w:r>
            <w:r>
              <w:rPr>
                <w:rFonts w:hint="eastAsia" w:ascii="宋体" w:hAnsi="宋体" w:cs="宋体"/>
                <w:color w:val="auto"/>
                <w:sz w:val="20"/>
                <w:szCs w:val="20"/>
                <w:lang w:bidi="ar"/>
              </w:rPr>
              <w:t xml:space="preserve">白平衡亮度：≥</w:t>
            </w:r>
            <w:r>
              <w:rPr>
                <w:rFonts w:ascii="宋体" w:hAnsi="宋体" w:cs="宋体"/>
                <w:color w:val="auto"/>
                <w:sz w:val="20"/>
                <w:szCs w:val="20"/>
                <w:lang w:bidi="ar"/>
              </w:rPr>
              <w:t xml:space="preserve">5</w:t>
            </w:r>
            <w:r>
              <w:rPr>
                <w:rFonts w:hint="eastAsia" w:ascii="宋体" w:hAnsi="宋体" w:cs="宋体"/>
                <w:color w:val="auto"/>
                <w:sz w:val="20"/>
                <w:szCs w:val="20"/>
                <w:lang w:bidi="ar"/>
              </w:rPr>
              <w:t xml:space="preserve">00cd/㎡；视角：≥1</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0°；刷新频率：≥3840Hz；对比度≥5</w:t>
            </w:r>
            <w:r>
              <w:rPr>
                <w:rFonts w:ascii="宋体" w:hAnsi="宋体" w:cs="宋体"/>
                <w:color w:val="auto"/>
                <w:sz w:val="20"/>
                <w:szCs w:val="20"/>
                <w:lang w:bidi="ar"/>
              </w:rPr>
              <w:t xml:space="preserve">0</w:t>
            </w:r>
            <w:r>
              <w:rPr>
                <w:rFonts w:hint="eastAsia" w:ascii="宋体" w:hAnsi="宋体" w:cs="宋体"/>
                <w:color w:val="auto"/>
                <w:sz w:val="20"/>
                <w:szCs w:val="20"/>
                <w:lang w:bidi="ar"/>
              </w:rPr>
              <w:t xml:space="preserve">00：1；换帧频率：≥60 Hz；平整度：≤0.5mm；灰度等级≥16bit；峰值功耗≤</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00W/㎡；单点校正功能：具有单个发光管亮度校正与颜色的校正；显示效果：多种显示画面应无同亮，暗亮（鬼影和拖尾）的现象；</w:t>
            </w:r>
            <w:r/>
          </w:p>
          <w:p>
            <w:pPr>
              <w:rPr>
                <w:rFonts w:hint="eastAsia"/>
                <w:color w:val="auto"/>
              </w:rPr>
            </w:pPr>
            <w:r>
              <w:rPr>
                <w:rFonts w:hint="eastAsia" w:ascii="宋体" w:hAnsi="宋体" w:eastAsia="宋体" w:cs="宋体"/>
                <w:color w:val="auto"/>
                <w:sz w:val="20"/>
                <w:szCs w:val="20"/>
                <w:lang w:val="en-US" w:eastAsia="zh-CN" w:bidi="ar"/>
              </w:rPr>
              <w:t xml:space="preserve">11、</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P2.5室内LED全彩屏3</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1、</w:t>
            </w:r>
            <w:r>
              <w:rPr>
                <w:rFonts w:hint="eastAsia" w:ascii="宋体" w:hAnsi="宋体" w:cs="宋体"/>
                <w:color w:val="auto"/>
                <w:sz w:val="20"/>
                <w:szCs w:val="20"/>
              </w:rPr>
              <w:t xml:space="preserve">LED像素结构：LED发光管采用金线封装三合一表贴；像素间距：≤2.5mm；必须采用压铸铝箱体，以保证屏幕的平整度及一致性。模块，电源，系统卡均可前维护。尺寸不小于6.4m*2.56m；</w:t>
            </w:r>
            <w:r>
              <w:rPr>
                <w:rFonts w:hint="eastAsia" w:ascii="宋体" w:hAnsi="宋体" w:cs="宋体"/>
                <w:color w:val="auto"/>
                <w:sz w:val="20"/>
                <w:szCs w:val="20"/>
                <w:lang w:bidi="ar"/>
              </w:rPr>
              <w:t xml:space="preserve">(签订合同时提供相应证明材料，如：白皮书、彩页、手册、网站截图、具有CMA标识的检测报告)</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2、需具备有效的LED蓝光隔离手段：①无380nm-400nm波长的辐射，②波长460nm蓝光辐射亮度（光强度）≤1.78E-02W/(㎡.sr.nm)；</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3、依据 GB/T 20145-2006 标准要求，LED 显示屏辐亮度≤100W·m-2·sr-1，判定级别为 RG0无危害级，LED 屏幕蓝光辐射符合国标无危害级要求；</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4、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jc w:val="left"/>
              <w:rPr>
                <w:color w:val="auto"/>
              </w:rPr>
            </w:pPr>
            <w:r>
              <w:rPr>
                <w:rFonts w:hint="eastAsia" w:ascii="宋体" w:hAnsi="宋体" w:cs="宋体"/>
                <w:color w:val="auto"/>
                <w:sz w:val="20"/>
                <w:szCs w:val="20"/>
                <w:lang w:bidi="ar"/>
              </w:rPr>
              <w:t xml:space="preserve">6、LED显示单元具有可开关功能技术，满足消防排烟通风要求，通过设置开合驱动装置以及压紧装置，解决建筑内表皮或外表皮通风排烟要求；</w:t>
            </w:r>
            <w:r/>
          </w:p>
          <w:p>
            <w:pPr>
              <w:jc w:val="left"/>
              <w:rPr>
                <w:rFonts w:hint="eastAsia" w:ascii="宋体" w:hAnsi="宋体" w:cs="宋体"/>
                <w:color w:val="auto"/>
                <w:sz w:val="20"/>
                <w:szCs w:val="20"/>
              </w:rPr>
            </w:pPr>
            <w:r>
              <w:rPr>
                <w:rFonts w:hint="eastAsia" w:ascii="宋体" w:hAnsi="宋体" w:cs="宋体"/>
                <w:color w:val="auto"/>
                <w:sz w:val="20"/>
                <w:szCs w:val="20"/>
                <w:lang w:bidi="ar"/>
              </w:rPr>
              <w:t xml:space="preserve">7、小间距LED显示屏具有前拆技术，支架远离印制板一</w:t>
            </w:r>
            <w:r>
              <w:rPr>
                <w:rFonts w:hint="eastAsia" w:ascii="宋体" w:hAnsi="宋体" w:cs="宋体"/>
                <w:color w:val="auto"/>
                <w:sz w:val="20"/>
                <w:szCs w:val="20"/>
              </w:rPr>
              <w:t xml:space="preserve">侧设有旋转座，旋转座支撑有轴件，充分利用杠杆原理，实现小间距前拆式安装与维护；</w:t>
            </w:r>
            <w:r/>
          </w:p>
          <w:p>
            <w:pPr>
              <w:jc w:val="left"/>
              <w:rPr>
                <w:rFonts w:hint="eastAsia" w:ascii="宋体" w:hAnsi="宋体" w:cs="宋体"/>
                <w:color w:val="auto"/>
                <w:sz w:val="20"/>
                <w:szCs w:val="20"/>
              </w:rPr>
            </w:pPr>
            <w:r>
              <w:rPr>
                <w:rFonts w:hint="eastAsia" w:ascii="宋体" w:hAnsi="宋体" w:cs="宋体"/>
                <w:color w:val="auto"/>
                <w:sz w:val="20"/>
                <w:szCs w:val="20"/>
              </w:rPr>
              <w:t xml:space="preserve">8、采用HUB、接收卡一体化设计，具备HDMI 2.0接口，集成主控板卡和 HUB 数据板；</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9、支持无线接插件浮动连接件接插方式，磁吸设计，多向定位精度调节设计，箱体支持 6 个方向的精度调节。</w:t>
            </w:r>
            <w:r/>
          </w:p>
          <w:p>
            <w:pPr>
              <w:pStyle w:val="702"/>
              <w:ind w:left="0" w:firstLine="0"/>
              <w:rPr>
                <w:rFonts w:hint="eastAsia" w:ascii="宋体" w:hAnsi="宋体" w:cs="宋体"/>
                <w:color w:val="auto"/>
                <w:sz w:val="20"/>
                <w:szCs w:val="20"/>
                <w:lang w:bidi="ar"/>
              </w:rPr>
            </w:pPr>
            <w:r>
              <w:rPr>
                <w:rFonts w:hint="eastAsia" w:ascii="宋体" w:hAnsi="宋体" w:eastAsia="宋体" w:cs="宋体"/>
                <w:color w:val="auto"/>
                <w:sz w:val="20"/>
                <w:szCs w:val="20"/>
                <w:lang w:val="en-US" w:eastAsia="zh-CN" w:bidi="ar"/>
              </w:rPr>
              <w:t xml:space="preserve">10、</w:t>
            </w:r>
            <w:r>
              <w:rPr>
                <w:rFonts w:hint="eastAsia" w:ascii="宋体" w:hAnsi="宋体" w:cs="宋体"/>
                <w:color w:val="auto"/>
                <w:sz w:val="20"/>
                <w:szCs w:val="20"/>
                <w:lang w:bidi="ar"/>
              </w:rPr>
              <w:t xml:space="preserve">白平衡亮度：≥</w:t>
            </w:r>
            <w:r>
              <w:rPr>
                <w:rFonts w:ascii="宋体" w:hAnsi="宋体" w:cs="宋体"/>
                <w:color w:val="auto"/>
                <w:sz w:val="20"/>
                <w:szCs w:val="20"/>
                <w:lang w:bidi="ar"/>
              </w:rPr>
              <w:t xml:space="preserve">5</w:t>
            </w:r>
            <w:r>
              <w:rPr>
                <w:rFonts w:hint="eastAsia" w:ascii="宋体" w:hAnsi="宋体" w:cs="宋体"/>
                <w:color w:val="auto"/>
                <w:sz w:val="20"/>
                <w:szCs w:val="20"/>
                <w:lang w:bidi="ar"/>
              </w:rPr>
              <w:t xml:space="preserve">00cd/㎡；视角：≥1</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0°；刷新频率：≥3840Hz；对比度≥5</w:t>
            </w:r>
            <w:r>
              <w:rPr>
                <w:rFonts w:ascii="宋体" w:hAnsi="宋体" w:cs="宋体"/>
                <w:color w:val="auto"/>
                <w:sz w:val="20"/>
                <w:szCs w:val="20"/>
                <w:lang w:bidi="ar"/>
              </w:rPr>
              <w:t xml:space="preserve">0</w:t>
            </w:r>
            <w:r>
              <w:rPr>
                <w:rFonts w:hint="eastAsia" w:ascii="宋体" w:hAnsi="宋体" w:cs="宋体"/>
                <w:color w:val="auto"/>
                <w:sz w:val="20"/>
                <w:szCs w:val="20"/>
                <w:lang w:bidi="ar"/>
              </w:rPr>
              <w:t xml:space="preserve">00：1；换帧频率：≥60 Hz；平整度：≤0.5mm；灰度等级≥16bit；峰值功耗≤</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00W/㎡；单点校正功能：具有单个发光管亮度校正与颜色的校正；显示效果：多种显示画面应无同亮，暗亮（鬼影和拖尾）的现象；</w:t>
            </w:r>
            <w:r/>
          </w:p>
          <w:p>
            <w:pPr>
              <w:rPr>
                <w:rFonts w:hint="eastAsia"/>
                <w:color w:val="auto"/>
              </w:rPr>
            </w:pPr>
            <w:r>
              <w:rPr>
                <w:rFonts w:hint="eastAsia" w:ascii="宋体" w:hAnsi="宋体" w:eastAsia="宋体" w:cs="宋体"/>
                <w:color w:val="auto"/>
                <w:sz w:val="20"/>
                <w:szCs w:val="20"/>
                <w:lang w:val="en-US" w:eastAsia="zh-CN" w:bidi="ar"/>
              </w:rPr>
              <w:t xml:space="preserve">11、</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P1.86室内LED全彩屏4</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rPr>
              <w:t xml:space="preserve">1、LED像素结构：LED发光管采用金线封装三合一表贴；像素间距：≤1.86mm；需采用压铸铝箱体，以保证屏幕的平整度及一致性。模块，电源，系统卡均可前维护。尺寸不小于4.48m*2.56m；</w:t>
            </w:r>
            <w:r>
              <w:rPr>
                <w:rFonts w:hint="eastAsia" w:ascii="宋体" w:hAnsi="宋体" w:cs="宋体"/>
                <w:color w:val="auto"/>
                <w:sz w:val="20"/>
                <w:szCs w:val="20"/>
                <w:lang w:bidi="ar"/>
              </w:rPr>
              <w:t xml:space="preserve">(签订合同时提供相应证明材料，如：白皮书、彩页、手册、网站截图、具有CMA标识的检测报告)</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2、白平衡亮度：≥</w:t>
            </w:r>
            <w:r>
              <w:rPr>
                <w:rFonts w:ascii="宋体" w:hAnsi="宋体" w:cs="宋体"/>
                <w:color w:val="auto"/>
                <w:sz w:val="20"/>
                <w:szCs w:val="20"/>
                <w:lang w:bidi="ar"/>
              </w:rPr>
              <w:t xml:space="preserve">5</w:t>
            </w:r>
            <w:r>
              <w:rPr>
                <w:rFonts w:hint="eastAsia" w:ascii="宋体" w:hAnsi="宋体" w:cs="宋体"/>
                <w:color w:val="auto"/>
                <w:sz w:val="20"/>
                <w:szCs w:val="20"/>
                <w:lang w:bidi="ar"/>
              </w:rPr>
              <w:t xml:space="preserve">00cd/㎡；视角：≥1</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0°；刷新频率：≥3840Hz；对比度≥5</w:t>
            </w:r>
            <w:r>
              <w:rPr>
                <w:rFonts w:ascii="宋体" w:hAnsi="宋体" w:cs="宋体"/>
                <w:color w:val="auto"/>
                <w:sz w:val="20"/>
                <w:szCs w:val="20"/>
                <w:lang w:bidi="ar"/>
              </w:rPr>
              <w:t xml:space="preserve">0</w:t>
            </w:r>
            <w:r>
              <w:rPr>
                <w:rFonts w:hint="eastAsia" w:ascii="宋体" w:hAnsi="宋体" w:cs="宋体"/>
                <w:color w:val="auto"/>
                <w:sz w:val="20"/>
                <w:szCs w:val="20"/>
                <w:lang w:bidi="ar"/>
              </w:rPr>
              <w:t xml:space="preserve">00：1；换帧频率：≥60 Hz；平整度：≤0.5mm；灰度等级≥16bit；峰值功耗≤</w:t>
            </w:r>
            <w:r>
              <w:rPr>
                <w:rFonts w:ascii="宋体" w:hAnsi="宋体" w:cs="宋体"/>
                <w:color w:val="auto"/>
                <w:sz w:val="20"/>
                <w:szCs w:val="20"/>
                <w:lang w:bidi="ar"/>
              </w:rPr>
              <w:t xml:space="preserve">4</w:t>
            </w:r>
            <w:r>
              <w:rPr>
                <w:rFonts w:hint="eastAsia" w:ascii="宋体" w:hAnsi="宋体" w:cs="宋体"/>
                <w:color w:val="auto"/>
                <w:sz w:val="20"/>
                <w:szCs w:val="20"/>
                <w:lang w:bidi="ar"/>
              </w:rPr>
              <w:t xml:space="preserve">00W/㎡；单点校正功能：具有单个发光管亮度校正与颜色的校正；显示效果：多种显示画面应无同亮，暗亮（鬼影和拖尾）的现象；</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3、LED显示屏通过</w:t>
            </w:r>
            <w:r>
              <w:rPr>
                <w:rFonts w:ascii="宋体" w:hAnsi="宋体" w:cs="宋体"/>
                <w:color w:val="auto"/>
                <w:sz w:val="20"/>
                <w:szCs w:val="20"/>
                <w:lang w:bidi="ar"/>
              </w:rPr>
              <w:t xml:space="preserve">GB/T 20145-2006</w:t>
            </w:r>
            <w:r>
              <w:rPr>
                <w:rFonts w:hint="eastAsia" w:ascii="宋体" w:hAnsi="宋体" w:cs="宋体"/>
                <w:color w:val="auto"/>
                <w:sz w:val="20"/>
                <w:szCs w:val="20"/>
                <w:lang w:bidi="ar"/>
              </w:rPr>
              <w:t xml:space="preserve">蓝光危害测试；</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4、LED模块通过V-0级材料的可燃性试验；</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5、产品的光生物安全应符合无危险类的基础灯在IEC62471:2006/EN62471:2008GB/T20145-2006标准要求的极限条件下也不造成任何光生物危害，不低于以下要求：在8h（30000s）曝辐中不造成光化学紫外危害（Es）,在1000s（约16min）内不造成近紫外危害（EUVA）,在10000s（约2.8h）内不造成对视网膜蓝光危害（Lb）,在10s内不造成对视网膜热危害（LR）,在1000s不造成对眼睛的红外辐射危害（EIR）；</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6、显示屏通过GB/T16442.3-2014紫外老化试验；</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7、防止辐射污染与安全，显示屏需通过BS6853有毒烟雾测试，毒性指数R值小于0.5；显示屏通过BS476-7：1997火势蔓延的试验，达到3级标准；</w:t>
            </w:r>
            <w:r/>
          </w:p>
          <w:p>
            <w:pPr>
              <w:rPr>
                <w:rFonts w:hint="eastAsia" w:ascii="宋体" w:hAnsi="宋体" w:cs="宋体"/>
                <w:color w:val="auto"/>
                <w:sz w:val="20"/>
                <w:szCs w:val="20"/>
                <w:lang w:bidi="ar"/>
              </w:rPr>
            </w:pPr>
            <w:r>
              <w:rPr>
                <w:rFonts w:hint="eastAsia" w:ascii="宋体" w:hAnsi="宋体" w:cs="宋体"/>
                <w:color w:val="auto"/>
                <w:sz w:val="20"/>
                <w:szCs w:val="20"/>
              </w:rPr>
              <w:t xml:space="preserve">8、支持无线接插件浮动连接件接插方式，磁吸设计，多向定位精度调节设计，箱体支持 6 个方向的精度调节；</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9、依据标准对外界机械碰撞的防护等级的测试方法及测试器具，摆锤重量</w:t>
            </w:r>
            <w:r>
              <w:rPr>
                <w:rFonts w:ascii="宋体" w:hAnsi="宋体" w:cs="宋体"/>
                <w:color w:val="auto"/>
                <w:sz w:val="20"/>
                <w:szCs w:val="20"/>
                <w:lang w:bidi="ar"/>
              </w:rPr>
              <w:t xml:space="preserve"> 5kg,跌落高度</w:t>
            </w:r>
            <w:r>
              <w:rPr>
                <w:rFonts w:hint="eastAsia" w:ascii="宋体" w:hAnsi="宋体" w:cs="宋体"/>
                <w:color w:val="auto"/>
                <w:sz w:val="20"/>
                <w:szCs w:val="20"/>
                <w:lang w:bidi="ar"/>
              </w:rPr>
              <w:t xml:space="preserve"> 400mm,冲击能量20J,在样品表面选 5 个点，每个点冲击 1 次，显示屏箱体表面通过IK10 碰撞防护等级要求，表面无损坏，通电后可以正常显示；</w:t>
            </w:r>
            <w:r/>
          </w:p>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10、LED 显示屏通过过流、断路、短路、过压、欠压、超温、超负荷、断电等测试。</w:t>
            </w:r>
            <w:r/>
          </w:p>
          <w:p>
            <w:pPr>
              <w:pStyle w:val="702"/>
              <w:ind w:left="0" w:firstLine="0"/>
              <w:rPr>
                <w:rFonts w:hint="eastAsia"/>
                <w:color w:val="auto"/>
              </w:rPr>
            </w:pPr>
            <w:r>
              <w:rPr>
                <w:rFonts w:hint="eastAsia" w:ascii="宋体" w:hAnsi="宋体" w:eastAsia="宋体" w:cs="宋体"/>
                <w:color w:val="auto"/>
                <w:sz w:val="20"/>
                <w:szCs w:val="20"/>
                <w:lang w:val="en-US" w:eastAsia="zh-CN" w:bidi="ar"/>
              </w:rPr>
              <w:t xml:space="preserve">11、</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403"/>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视频处理器1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1、支持不少于2画面；带载≥1040万、横向≥</w:t>
            </w:r>
            <w:r>
              <w:rPr>
                <w:rFonts w:ascii="宋体" w:hAnsi="宋体" w:cs="宋体"/>
                <w:color w:val="auto"/>
                <w:sz w:val="20"/>
                <w:szCs w:val="20"/>
              </w:rPr>
              <w:t xml:space="preserve">8192</w:t>
            </w:r>
            <w:r>
              <w:rPr>
                <w:rFonts w:hint="eastAsia" w:ascii="宋体" w:hAnsi="宋体" w:cs="宋体"/>
                <w:color w:val="auto"/>
                <w:sz w:val="20"/>
                <w:szCs w:val="20"/>
              </w:rPr>
              <w:t xml:space="preserve">、纵向≥</w:t>
            </w:r>
            <w:r>
              <w:rPr>
                <w:rFonts w:ascii="宋体" w:hAnsi="宋体" w:cs="宋体"/>
                <w:color w:val="auto"/>
                <w:sz w:val="20"/>
                <w:szCs w:val="20"/>
              </w:rPr>
              <w:t xml:space="preserve">4320</w:t>
            </w:r>
            <w:r>
              <w:rPr>
                <w:rFonts w:hint="eastAsia" w:ascii="宋体" w:hAnsi="宋体" w:cs="宋体"/>
                <w:color w:val="auto"/>
                <w:sz w:val="20"/>
                <w:szCs w:val="20"/>
              </w:rPr>
              <w:t xml:space="preserve">；</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2、输入:≥2</w:t>
            </w:r>
            <w:r>
              <w:rPr>
                <w:rFonts w:ascii="宋体" w:hAnsi="宋体" w:cs="宋体"/>
                <w:color w:val="auto"/>
                <w:sz w:val="20"/>
                <w:szCs w:val="20"/>
              </w:rPr>
              <w:t xml:space="preserve">*HDMI</w:t>
            </w:r>
            <w:r>
              <w:rPr>
                <w:rFonts w:hint="eastAsia" w:ascii="宋体" w:hAnsi="宋体" w:cs="宋体"/>
                <w:color w:val="auto"/>
                <w:sz w:val="20"/>
                <w:szCs w:val="20"/>
              </w:rPr>
              <w:t xml:space="preserve">输入，2</w:t>
            </w:r>
            <w:r>
              <w:rPr>
                <w:rFonts w:ascii="宋体" w:hAnsi="宋体" w:cs="宋体"/>
                <w:color w:val="auto"/>
                <w:sz w:val="20"/>
                <w:szCs w:val="20"/>
              </w:rPr>
              <w:t xml:space="preserve">*DP1.2</w:t>
            </w:r>
            <w:r>
              <w:rPr>
                <w:rFonts w:hint="eastAsia" w:ascii="宋体" w:hAnsi="宋体" w:cs="宋体"/>
                <w:color w:val="auto"/>
                <w:sz w:val="20"/>
                <w:szCs w:val="20"/>
              </w:rPr>
              <w:t xml:space="preserve">输入；</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3、输出:≥16x网口，1xHDMI预监</w:t>
            </w:r>
            <w:r/>
          </w:p>
          <w:p>
            <w:pPr>
              <w:jc w:val="left"/>
              <w:rPr>
                <w:rFonts w:hint="eastAsia" w:ascii="宋体" w:hAnsi="宋体" w:cs="宋体"/>
                <w:color w:val="auto"/>
                <w:sz w:val="20"/>
                <w:szCs w:val="20"/>
              </w:rPr>
            </w:pPr>
            <w:r>
              <w:rPr>
                <w:rFonts w:hint="eastAsia" w:ascii="宋体" w:hAnsi="宋体" w:cs="宋体"/>
                <w:color w:val="auto"/>
                <w:sz w:val="20"/>
                <w:szCs w:val="20"/>
              </w:rPr>
              <w:t xml:space="preserve">4、设备</w:t>
            </w:r>
            <w:r>
              <w:rPr>
                <w:rFonts w:hint="eastAsia" w:ascii="宋体" w:hAnsi="宋体" w:cs="宋体"/>
                <w:color w:val="auto"/>
              </w:rPr>
              <w:t xml:space="preserve">支持智能节能功能，自动检测当前环境是否有人，无人时自动调暗屏幕画面或黑屏；支持同时接入3个以上人体检测传感器；支持设置从无人到熄屏的时间；支持防动物误触发；支持无视频信号输入时，自动黑屏</w:t>
            </w:r>
            <w:r>
              <w:rPr>
                <w:rFonts w:hint="eastAsia" w:ascii="宋体" w:hAnsi="宋体" w:cs="宋体"/>
                <w:color w:val="auto"/>
                <w:sz w:val="20"/>
                <w:szCs w:val="20"/>
              </w:rPr>
              <w:t xml:space="preserve">；</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视频处理器2</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1、支持不少于三画面；带载≥650万、横向≥10240、纵向≥8192；</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2、输入：≥2×HDMI1.4、1×DVI、1×Audio ；</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3、输出：≥1×SDI Loop、1×HDMI预监，1×Audio，网口×10；</w:t>
            </w:r>
            <w:r/>
          </w:p>
          <w:p>
            <w:pPr>
              <w:jc w:val="left"/>
              <w:rPr>
                <w:rFonts w:hint="eastAsia" w:ascii="宋体" w:hAnsi="宋体" w:cs="宋体"/>
                <w:color w:val="auto"/>
                <w:sz w:val="20"/>
                <w:szCs w:val="20"/>
              </w:rPr>
            </w:pPr>
            <w:r>
              <w:rPr>
                <w:rFonts w:hint="eastAsia" w:ascii="宋体" w:hAnsi="宋体" w:cs="宋体"/>
                <w:color w:val="auto"/>
                <w:sz w:val="20"/>
                <w:szCs w:val="20"/>
              </w:rPr>
              <w:t xml:space="preserve">4、支持一键缩放，支持OSD。</w:t>
            </w:r>
            <w:r/>
          </w:p>
        </w:tc>
      </w:tr>
      <w:tr>
        <w:trPr>
          <w:cantSplit/>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视频处理器3</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1、支持不少于2画面；带载≥1040万、横向≥</w:t>
            </w:r>
            <w:r>
              <w:rPr>
                <w:rFonts w:ascii="宋体" w:hAnsi="宋体" w:cs="宋体"/>
                <w:color w:val="auto"/>
                <w:sz w:val="20"/>
                <w:szCs w:val="20"/>
              </w:rPr>
              <w:t xml:space="preserve">8192</w:t>
            </w:r>
            <w:r>
              <w:rPr>
                <w:rFonts w:hint="eastAsia" w:ascii="宋体" w:hAnsi="宋体" w:cs="宋体"/>
                <w:color w:val="auto"/>
                <w:sz w:val="20"/>
                <w:szCs w:val="20"/>
              </w:rPr>
              <w:t xml:space="preserve">、纵向≥</w:t>
            </w:r>
            <w:r>
              <w:rPr>
                <w:rFonts w:ascii="宋体" w:hAnsi="宋体" w:cs="宋体"/>
                <w:color w:val="auto"/>
                <w:sz w:val="20"/>
                <w:szCs w:val="20"/>
              </w:rPr>
              <w:t xml:space="preserve">4320</w:t>
            </w:r>
            <w:r>
              <w:rPr>
                <w:rFonts w:hint="eastAsia" w:ascii="宋体" w:hAnsi="宋体" w:cs="宋体"/>
                <w:color w:val="auto"/>
                <w:sz w:val="20"/>
                <w:szCs w:val="20"/>
              </w:rPr>
              <w:t xml:space="preserve">；</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2、输入:≥2</w:t>
            </w:r>
            <w:r>
              <w:rPr>
                <w:rFonts w:ascii="宋体" w:hAnsi="宋体" w:cs="宋体"/>
                <w:color w:val="auto"/>
                <w:sz w:val="20"/>
                <w:szCs w:val="20"/>
              </w:rPr>
              <w:t xml:space="preserve">*HDMI</w:t>
            </w:r>
            <w:r>
              <w:rPr>
                <w:rFonts w:hint="eastAsia" w:ascii="宋体" w:hAnsi="宋体" w:cs="宋体"/>
                <w:color w:val="auto"/>
                <w:sz w:val="20"/>
                <w:szCs w:val="20"/>
              </w:rPr>
              <w:t xml:space="preserve">输入，2</w:t>
            </w:r>
            <w:r>
              <w:rPr>
                <w:rFonts w:ascii="宋体" w:hAnsi="宋体" w:cs="宋体"/>
                <w:color w:val="auto"/>
                <w:sz w:val="20"/>
                <w:szCs w:val="20"/>
              </w:rPr>
              <w:t xml:space="preserve">*DP1.2</w:t>
            </w:r>
            <w:r>
              <w:rPr>
                <w:rFonts w:hint="eastAsia" w:ascii="宋体" w:hAnsi="宋体" w:cs="宋体"/>
                <w:color w:val="auto"/>
                <w:sz w:val="20"/>
                <w:szCs w:val="20"/>
              </w:rPr>
              <w:t xml:space="preserve">输入；</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3、输出:≥16x网口，</w:t>
            </w:r>
            <w:r>
              <w:rPr>
                <w:rFonts w:ascii="宋体" w:hAnsi="宋体" w:cs="宋体"/>
                <w:color w:val="auto"/>
                <w:sz w:val="20"/>
                <w:szCs w:val="20"/>
              </w:rPr>
              <w:t xml:space="preserve"> 1xHDMI预监</w:t>
            </w:r>
            <w:r>
              <w:rPr>
                <w:rFonts w:hint="eastAsia" w:ascii="宋体" w:hAnsi="宋体" w:cs="宋体"/>
                <w:color w:val="auto"/>
                <w:sz w:val="20"/>
                <w:szCs w:val="20"/>
              </w:rPr>
              <w:t xml:space="preserve">；</w:t>
            </w:r>
            <w:r/>
          </w:p>
          <w:p>
            <w:pPr>
              <w:pStyle w:val="702"/>
              <w:ind w:left="0"/>
              <w:rPr>
                <w:rFonts w:eastAsia="宋体"/>
                <w:color w:val="auto"/>
                <w:lang w:val="en-US"/>
              </w:rPr>
            </w:pPr>
            <w:r>
              <w:rPr>
                <w:rFonts w:hint="eastAsia" w:ascii="宋体" w:hAnsi="宋体" w:eastAsia="宋体"/>
                <w:color w:val="auto"/>
                <w:szCs w:val="20"/>
                <w:lang w:val="en-US"/>
              </w:rPr>
              <w:t xml:space="preserve">4</w:t>
            </w:r>
            <w:r>
              <w:rPr>
                <w:rFonts w:hint="eastAsia" w:ascii="宋体" w:hAnsi="宋体"/>
                <w:color w:val="auto"/>
                <w:szCs w:val="20"/>
              </w:rPr>
              <w:t xml:space="preserve">、</w:t>
            </w:r>
            <w:r>
              <w:rPr>
                <w:rFonts w:hint="eastAsia" w:ascii="宋体" w:hAnsi="宋体" w:eastAsia="宋体"/>
                <w:color w:val="auto"/>
                <w:szCs w:val="20"/>
                <w:lang w:val="en-US"/>
              </w:rPr>
              <w:t xml:space="preserve">设备</w:t>
            </w:r>
            <w:r>
              <w:rPr>
                <w:rFonts w:hint="eastAsia" w:ascii="宋体" w:hAnsi="宋体"/>
                <w:color w:val="auto"/>
              </w:rPr>
              <w:t xml:space="preserve">支持智能火情预警功能，自动检测当前环境是否存在高温火点，当出现火情时，自动断开大屏电源，防止火情随着电流快速蔓延，支持3个以上火情检测传感器</w:t>
            </w:r>
            <w:r>
              <w:rPr>
                <w:rFonts w:hint="eastAsia" w:ascii="宋体" w:hAnsi="宋体" w:eastAsia="宋体"/>
                <w:color w:val="auto"/>
                <w:szCs w:val="20"/>
                <w:lang w:val="en-US"/>
              </w:rPr>
              <w:t xml:space="preserve">；</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视频处理器4</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1、支持不少于三画面；带载≥390万、横向≥4096、纵向≥4096；</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2、输入:≥1xVGA、1xDVI、2xHDMI；</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3、输出:≥6x网口。</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视频处理器5</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1、支持不少于三画面；带载≥350万、横向</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4096、纵向</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4096；</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2、输入:</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1xVGA、1xDVI、2xHDMI；</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w:t>
            </w:r>
            <w:r>
              <w:rPr>
                <w:rFonts w:hint="eastAsia" w:ascii="宋体" w:hAnsi="宋体" w:cs="宋体"/>
                <w:color w:val="auto"/>
                <w:sz w:val="20"/>
                <w:szCs w:val="20"/>
                <w:lang w:bidi="ar"/>
              </w:rPr>
              <w:t xml:space="preserve">≥</w:t>
            </w:r>
            <w:r>
              <w:rPr>
                <w:rFonts w:hint="eastAsia" w:ascii="宋体" w:hAnsi="宋体" w:cs="宋体"/>
                <w:color w:val="auto"/>
                <w:sz w:val="20"/>
                <w:szCs w:val="20"/>
              </w:rPr>
              <w:t xml:space="preserve">6x网口。</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异步控制盒</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bCs/>
                <w:color w:val="auto"/>
                <w:sz w:val="20"/>
                <w:szCs w:val="20"/>
              </w:rPr>
              <w:t xml:space="preserve">配套会标屏使用，</w:t>
            </w:r>
            <w:r>
              <w:rPr>
                <w:rFonts w:hint="eastAsia" w:ascii="宋体" w:hAnsi="宋体" w:cs="宋体"/>
                <w:color w:val="auto"/>
                <w:sz w:val="20"/>
                <w:szCs w:val="20"/>
              </w:rPr>
              <w:t xml:space="preserve">不少于1网口、1*U盘接口，不低于128M存储内存。</w:t>
            </w:r>
            <w:r/>
          </w:p>
        </w:tc>
      </w:tr>
      <w:tr>
        <w:trPr>
          <w:cantSplit/>
          <w:trHeight w:val="327"/>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15</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LED集成管理控制系统软件</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1、支持直观的拖放界面和可视化工具轻松创建演示内容；</w:t>
            </w:r>
            <w:r/>
          </w:p>
          <w:p>
            <w:pPr>
              <w:jc w:val="left"/>
              <w:rPr>
                <w:rFonts w:hint="eastAsia" w:ascii="宋体" w:hAnsi="宋体" w:cs="宋体"/>
                <w:color w:val="auto"/>
                <w:sz w:val="20"/>
                <w:szCs w:val="20"/>
              </w:rPr>
            </w:pPr>
            <w:r>
              <w:rPr>
                <w:rFonts w:hint="eastAsia" w:ascii="宋体" w:hAnsi="宋体" w:cs="宋体"/>
                <w:color w:val="auto"/>
                <w:sz w:val="20"/>
                <w:szCs w:val="20"/>
              </w:rPr>
              <w:t xml:space="preserve">2、播放列表支持循环播放视频，图片，音频等；支持远程更新播放内容；</w:t>
            </w:r>
            <w:r/>
          </w:p>
          <w:p>
            <w:pPr>
              <w:jc w:val="left"/>
              <w:rPr>
                <w:rFonts w:ascii="宋体" w:hAnsi="Courier New" w:cs="Courier New"/>
                <w:color w:val="auto"/>
                <w:szCs w:val="21"/>
              </w:rPr>
            </w:pPr>
            <w:r>
              <w:rPr>
                <w:rFonts w:hint="eastAsia" w:ascii="宋体" w:hAnsi="宋体" w:cs="宋体"/>
                <w:color w:val="auto"/>
                <w:sz w:val="20"/>
                <w:szCs w:val="20"/>
              </w:rPr>
              <w:t xml:space="preserve">3、支持后台实时查看播放内容；系统服务架构可具备可扩充性。</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16</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配电箱1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1、类型：≥70KW配电柜；</w:t>
            </w:r>
            <w:r/>
          </w:p>
          <w:p>
            <w:pPr>
              <w:jc w:val="left"/>
              <w:rPr>
                <w:rFonts w:hint="eastAsia" w:ascii="宋体" w:hAnsi="宋体" w:cs="宋体"/>
                <w:color w:val="auto"/>
                <w:sz w:val="20"/>
                <w:szCs w:val="20"/>
              </w:rPr>
            </w:pPr>
            <w:r>
              <w:rPr>
                <w:rFonts w:hint="eastAsia" w:ascii="宋体" w:hAnsi="宋体" w:cs="宋体"/>
                <w:color w:val="auto"/>
                <w:sz w:val="20"/>
                <w:szCs w:val="20"/>
              </w:rPr>
              <w:t xml:space="preserve">2、输出电压：220V；</w:t>
            </w:r>
            <w:r/>
          </w:p>
          <w:p>
            <w:pPr>
              <w:jc w:val="left"/>
              <w:rPr>
                <w:rFonts w:hint="eastAsia" w:ascii="宋体" w:hAnsi="宋体" w:cs="宋体"/>
                <w:color w:val="auto"/>
                <w:sz w:val="20"/>
                <w:szCs w:val="20"/>
              </w:rPr>
            </w:pPr>
            <w:r>
              <w:rPr>
                <w:rFonts w:hint="eastAsia" w:ascii="宋体" w:hAnsi="宋体" w:cs="宋体"/>
                <w:color w:val="auto"/>
                <w:sz w:val="20"/>
                <w:szCs w:val="20"/>
              </w:rPr>
              <w:t xml:space="preserve">3、输出回路：≥3个单向回路。 </w:t>
            </w:r>
            <w:r/>
          </w:p>
          <w:p>
            <w:pPr>
              <w:jc w:val="left"/>
              <w:rPr>
                <w:rFonts w:hint="eastAsia" w:ascii="宋体" w:hAnsi="宋体" w:cs="宋体"/>
                <w:color w:val="auto"/>
                <w:sz w:val="20"/>
                <w:szCs w:val="20"/>
              </w:rPr>
            </w:pPr>
            <w:r>
              <w:rPr>
                <w:rFonts w:hint="eastAsia" w:ascii="宋体" w:hAnsi="宋体" w:cs="宋体"/>
                <w:color w:val="auto"/>
                <w:sz w:val="20"/>
                <w:szCs w:val="20"/>
              </w:rPr>
              <w:t xml:space="preserve">4、具备远程上电功能，PLC功能，继电器、空气开关元器件；</w:t>
            </w:r>
            <w:r/>
          </w:p>
          <w:p>
            <w:pPr>
              <w:jc w:val="left"/>
              <w:rPr>
                <w:rFonts w:hint="eastAsia" w:ascii="宋体" w:hAnsi="宋体" w:cs="宋体"/>
                <w:color w:val="auto"/>
                <w:sz w:val="20"/>
                <w:szCs w:val="20"/>
              </w:rPr>
            </w:pPr>
            <w:r>
              <w:rPr>
                <w:rFonts w:hint="eastAsia" w:ascii="宋体" w:hAnsi="宋体" w:cs="宋体"/>
                <w:color w:val="auto"/>
                <w:sz w:val="20"/>
                <w:szCs w:val="20"/>
              </w:rPr>
              <w:t xml:space="preserve">5、具有根据环境管理系统的信息回馈，启动和关闭整个显示系统；柜门各功能单元门的开启应大于90°；保护接地端子和可触及金属外壳之间施加32A电流，持续2min，测得的阻值不应大于0.1Ω；</w:t>
            </w:r>
            <w:r/>
          </w:p>
          <w:p>
            <w:pPr>
              <w:jc w:val="left"/>
              <w:rPr>
                <w:color w:val="auto"/>
              </w:rPr>
            </w:pPr>
            <w:r>
              <w:rPr>
                <w:rFonts w:hint="eastAsia" w:ascii="宋体" w:hAnsi="宋体" w:cs="宋体"/>
                <w:color w:val="auto"/>
                <w:sz w:val="20"/>
                <w:szCs w:val="20"/>
              </w:rPr>
              <w:t xml:space="preserve">6、对配电柜面板等人手容易接触的非金属部分给与不小于</w:t>
            </w:r>
            <w:r>
              <w:rPr>
                <w:rFonts w:ascii="宋体" w:hAnsi="宋体" w:cs="宋体"/>
                <w:color w:val="auto"/>
                <w:sz w:val="20"/>
                <w:szCs w:val="20"/>
              </w:rPr>
              <w:t xml:space="preserve">10KV</w:t>
            </w:r>
            <w:r>
              <w:rPr>
                <w:rFonts w:hint="eastAsia" w:ascii="宋体" w:hAnsi="宋体" w:cs="宋体"/>
                <w:color w:val="auto"/>
                <w:sz w:val="20"/>
                <w:szCs w:val="20"/>
              </w:rPr>
              <w:t xml:space="preserve">放电电压，金属部分给与不小于</w:t>
            </w:r>
            <w:r>
              <w:rPr>
                <w:rFonts w:ascii="宋体" w:hAnsi="宋体" w:cs="宋体"/>
                <w:color w:val="auto"/>
                <w:sz w:val="20"/>
                <w:szCs w:val="20"/>
              </w:rPr>
              <w:t xml:space="preserve">8kv的放电电压，每次试电正负极性放电次数不大于10</w:t>
            </w:r>
            <w:r>
              <w:rPr>
                <w:rFonts w:hint="eastAsia" w:ascii="宋体" w:hAnsi="宋体" w:cs="宋体"/>
                <w:color w:val="auto"/>
                <w:sz w:val="20"/>
                <w:szCs w:val="20"/>
              </w:rPr>
              <w:t xml:space="preserve">次。</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配电箱2</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1、类型：≥20KW配电柜；</w:t>
            </w:r>
            <w:r/>
          </w:p>
          <w:p>
            <w:pPr>
              <w:jc w:val="left"/>
              <w:rPr>
                <w:rFonts w:hint="eastAsia" w:ascii="宋体" w:hAnsi="宋体" w:cs="宋体"/>
                <w:color w:val="auto"/>
                <w:sz w:val="20"/>
                <w:szCs w:val="20"/>
              </w:rPr>
            </w:pPr>
            <w:r>
              <w:rPr>
                <w:rFonts w:hint="eastAsia" w:ascii="宋体" w:hAnsi="宋体" w:cs="宋体"/>
                <w:color w:val="auto"/>
                <w:sz w:val="20"/>
                <w:szCs w:val="20"/>
              </w:rPr>
              <w:t xml:space="preserve">2、控制：PLC控制器，网络远程控制；</w:t>
            </w:r>
            <w:r/>
          </w:p>
          <w:p>
            <w:pPr>
              <w:jc w:val="left"/>
              <w:rPr>
                <w:rFonts w:hint="eastAsia" w:ascii="宋体" w:hAnsi="宋体" w:cs="宋体"/>
                <w:color w:val="auto"/>
                <w:sz w:val="20"/>
                <w:szCs w:val="20"/>
              </w:rPr>
            </w:pPr>
            <w:r>
              <w:rPr>
                <w:rFonts w:hint="eastAsia" w:ascii="宋体" w:hAnsi="宋体" w:cs="宋体"/>
                <w:color w:val="auto"/>
                <w:sz w:val="20"/>
                <w:szCs w:val="20"/>
              </w:rPr>
              <w:t xml:space="preserve">3、元器件：断路器、接触器；</w:t>
            </w:r>
            <w:r/>
          </w:p>
          <w:p>
            <w:pPr>
              <w:jc w:val="left"/>
              <w:rPr>
                <w:rFonts w:hint="eastAsia" w:ascii="宋体" w:hAnsi="宋体" w:cs="宋体"/>
                <w:color w:val="auto"/>
                <w:sz w:val="20"/>
                <w:szCs w:val="20"/>
              </w:rPr>
            </w:pPr>
            <w:r>
              <w:rPr>
                <w:rFonts w:hint="eastAsia" w:ascii="宋体" w:hAnsi="宋体" w:cs="宋体"/>
                <w:color w:val="auto"/>
                <w:sz w:val="20"/>
                <w:szCs w:val="20"/>
              </w:rPr>
              <w:t xml:space="preserve">4、输入电压：380V；</w:t>
            </w:r>
            <w:r/>
          </w:p>
          <w:p>
            <w:pPr>
              <w:jc w:val="left"/>
              <w:rPr>
                <w:rFonts w:hint="eastAsia" w:ascii="宋体" w:hAnsi="宋体" w:cs="宋体"/>
                <w:color w:val="auto"/>
                <w:sz w:val="20"/>
                <w:szCs w:val="20"/>
              </w:rPr>
            </w:pPr>
            <w:r>
              <w:rPr>
                <w:rFonts w:hint="eastAsia" w:ascii="宋体" w:hAnsi="宋体" w:cs="宋体"/>
                <w:color w:val="auto"/>
                <w:sz w:val="20"/>
                <w:szCs w:val="20"/>
              </w:rPr>
              <w:t xml:space="preserve">5、输出电压：220V；</w:t>
            </w:r>
            <w:r/>
          </w:p>
          <w:p>
            <w:pPr>
              <w:jc w:val="left"/>
              <w:rPr>
                <w:rFonts w:hint="eastAsia" w:ascii="宋体" w:hAnsi="宋体" w:cs="宋体"/>
                <w:color w:val="auto"/>
                <w:sz w:val="20"/>
                <w:szCs w:val="20"/>
              </w:rPr>
            </w:pPr>
            <w:r>
              <w:rPr>
                <w:rFonts w:hint="eastAsia" w:ascii="宋体" w:hAnsi="宋体" w:cs="宋体"/>
                <w:color w:val="auto"/>
                <w:sz w:val="20"/>
                <w:szCs w:val="20"/>
              </w:rPr>
              <w:t xml:space="preserve">6、输出回路：≥3个单向回路；</w:t>
            </w:r>
            <w:r/>
          </w:p>
          <w:p>
            <w:pPr>
              <w:jc w:val="left"/>
              <w:rPr>
                <w:rFonts w:hint="eastAsia" w:ascii="宋体" w:hAnsi="宋体" w:cs="宋体"/>
                <w:color w:val="auto"/>
                <w:sz w:val="20"/>
                <w:szCs w:val="20"/>
              </w:rPr>
            </w:pPr>
            <w:r>
              <w:rPr>
                <w:rFonts w:hint="eastAsia" w:ascii="宋体" w:hAnsi="宋体" w:cs="宋体"/>
                <w:color w:val="auto"/>
                <w:sz w:val="20"/>
                <w:szCs w:val="20"/>
              </w:rPr>
              <w:t xml:space="preserve">7、具备远程上电功能，PLC功能，继电器、空气开关元器件。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配电箱3</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1、功率：</w:t>
            </w:r>
            <w:r>
              <w:rPr>
                <w:rFonts w:hint="eastAsia" w:ascii="宋体" w:hAnsi="宋体" w:cs="宋体"/>
                <w:color w:val="auto"/>
                <w:sz w:val="20"/>
                <w:szCs w:val="20"/>
              </w:rPr>
              <w:t xml:space="preserve">≥</w:t>
            </w:r>
            <w:r>
              <w:rPr>
                <w:rFonts w:hint="eastAsia" w:ascii="宋体" w:hAnsi="宋体" w:cs="宋体"/>
                <w:color w:val="auto"/>
                <w:sz w:val="20"/>
                <w:szCs w:val="20"/>
                <w:lang w:bidi="ar"/>
              </w:rPr>
              <w:t xml:space="preserve">15KW配电柜；</w:t>
            </w:r>
            <w:r/>
          </w:p>
          <w:p>
            <w:pPr>
              <w:jc w:val="left"/>
              <w:rPr>
                <w:rFonts w:hint="eastAsia" w:ascii="宋体" w:hAnsi="宋体" w:cs="宋体"/>
                <w:color w:val="auto"/>
                <w:sz w:val="20"/>
                <w:szCs w:val="20"/>
              </w:rPr>
            </w:pPr>
            <w:r>
              <w:rPr>
                <w:rFonts w:hint="eastAsia" w:ascii="宋体" w:hAnsi="宋体" w:cs="宋体"/>
                <w:color w:val="auto"/>
                <w:sz w:val="20"/>
                <w:szCs w:val="20"/>
              </w:rPr>
              <w:t xml:space="preserve">2、控制：PLC控制器，网络远程控制；</w:t>
            </w:r>
            <w:r/>
          </w:p>
          <w:p>
            <w:pPr>
              <w:jc w:val="left"/>
              <w:rPr>
                <w:rFonts w:hint="eastAsia" w:ascii="宋体" w:hAnsi="宋体" w:cs="宋体"/>
                <w:color w:val="auto"/>
                <w:sz w:val="20"/>
                <w:szCs w:val="20"/>
              </w:rPr>
            </w:pPr>
            <w:r>
              <w:rPr>
                <w:rFonts w:hint="eastAsia" w:ascii="宋体" w:hAnsi="宋体" w:cs="宋体"/>
                <w:color w:val="auto"/>
                <w:sz w:val="20"/>
                <w:szCs w:val="20"/>
              </w:rPr>
              <w:t xml:space="preserve">3、元器件：断路器、接触器；</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4、输入电压：380V；</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5、输出电压：220V；</w:t>
            </w:r>
            <w:r/>
          </w:p>
          <w:p>
            <w:pPr>
              <w:jc w:val="left"/>
              <w:rPr>
                <w:rFonts w:hint="eastAsia" w:ascii="宋体" w:hAnsi="宋体" w:cs="宋体"/>
                <w:color w:val="auto"/>
                <w:sz w:val="20"/>
                <w:szCs w:val="20"/>
                <w:lang w:bidi="ar"/>
              </w:rPr>
            </w:pPr>
            <w:r>
              <w:rPr>
                <w:rFonts w:hint="eastAsia" w:ascii="宋体" w:hAnsi="宋体" w:cs="宋体"/>
                <w:color w:val="auto"/>
                <w:sz w:val="20"/>
                <w:szCs w:val="20"/>
                <w:lang w:bidi="ar"/>
              </w:rPr>
              <w:t xml:space="preserve">6、输出回路：≥3个单向回路；</w:t>
            </w:r>
            <w:r/>
          </w:p>
          <w:p>
            <w:pPr>
              <w:jc w:val="left"/>
              <w:rPr>
                <w:rFonts w:hint="eastAsia" w:ascii="宋体" w:hAnsi="宋体" w:cs="宋体"/>
                <w:color w:val="auto"/>
                <w:sz w:val="20"/>
                <w:szCs w:val="20"/>
              </w:rPr>
            </w:pPr>
            <w:r>
              <w:rPr>
                <w:rFonts w:hint="eastAsia" w:ascii="宋体" w:hAnsi="宋体" w:cs="宋体"/>
                <w:color w:val="auto"/>
                <w:sz w:val="20"/>
                <w:szCs w:val="20"/>
                <w:lang w:bidi="ar"/>
              </w:rPr>
              <w:t xml:space="preserve">7、具备远程上电功能，PLC功能，继电器、空气开关元器件。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19</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屏体框架及包边1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1、安装框架采用Q235B标准40mm*40mm及以上镀锌方管或铝型材结构；尺寸不小于58.99㎡；</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屏体框架及包边2</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1、安装框架采用Q235B标准40mm*40mm及以上镀锌方管或铝型材结构；尺寸不小于18.44㎡；</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屏体框架及包边3</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1、安装框架采用Q235B标准40mm*40mm及以上镀锌方管或铝型材结构；尺寸不小于8.51㎡；</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屏体框架及包边4</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1、安装框架采用Q235B标准40mm*40mm及以上镀锌方管或铝型材结构；尺寸不小于19.36㎡；</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屏体框架及包边5</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1、安装框架采用Q235B标准40mm*40mm及以上镀锌方管或铝型材结构；尺寸不小于27.04㎡；</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31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屏体框架及包边6</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1、安装框架采用Q235B标准40mm*40mm及以上镀锌方管或铝型材结构；尺寸不小于18.44㎡；</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屏体框架及包边7</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1、安装框架采用Q235B标准40mm*40mm及以上镀锌方管或铝型材结构；尺寸不小于16.39㎡；</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屏体框架及包边8</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1、安装框架采用Q235B标准40mm*40mm及以上镀锌方管或铝型材结构；尺寸不小于11.47㎡；</w:t>
            </w:r>
            <w:r/>
          </w:p>
          <w:p>
            <w:pPr>
              <w:jc w:val="left"/>
              <w:rPr>
                <w:rFonts w:hint="eastAsia" w:ascii="宋体" w:hAnsi="宋体" w:cs="宋体"/>
                <w:color w:val="auto"/>
                <w:sz w:val="20"/>
                <w:szCs w:val="20"/>
              </w:rPr>
            </w:pPr>
            <w:r>
              <w:rPr>
                <w:rFonts w:hint="eastAsia" w:ascii="宋体" w:hAnsi="宋体" w:cs="宋体"/>
                <w:color w:val="auto"/>
                <w:sz w:val="20"/>
                <w:szCs w:val="20"/>
              </w:rPr>
              <w:t xml:space="preserve">2、屏体主结构框架采用镀锌钢管制作或铝型材结构，防腐防锈处理，不锈钢包边,包边宽度3至6公分；</w:t>
            </w:r>
            <w:r/>
          </w:p>
          <w:p>
            <w:pPr>
              <w:jc w:val="left"/>
              <w:rPr>
                <w:rFonts w:hint="eastAsia" w:ascii="宋体" w:hAnsi="宋体" w:cs="宋体"/>
                <w:color w:val="auto"/>
                <w:sz w:val="20"/>
                <w:szCs w:val="20"/>
              </w:rPr>
            </w:pPr>
            <w:r>
              <w:rPr>
                <w:rFonts w:hint="eastAsia" w:ascii="宋体" w:hAnsi="宋体" w:cs="宋体"/>
                <w:color w:val="auto"/>
                <w:sz w:val="20"/>
                <w:szCs w:val="20"/>
              </w:rPr>
              <w:t xml:space="preserve">3、主框架需满足产品安装和安全要求。</w:t>
            </w:r>
            <w:r/>
          </w:p>
        </w:tc>
      </w:tr>
      <w:tr>
        <w:trPr>
          <w:cantSplit/>
          <w:trHeight w:val="257"/>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通讯电缆及配件</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1、室内LED屏所用强供电及通信线缆；</w:t>
            </w:r>
            <w:r/>
          </w:p>
          <w:p>
            <w:pPr>
              <w:jc w:val="left"/>
              <w:rPr>
                <w:rFonts w:hint="eastAsia" w:ascii="宋体" w:hAnsi="宋体" w:cs="宋体"/>
                <w:color w:val="auto"/>
                <w:sz w:val="20"/>
                <w:szCs w:val="20"/>
              </w:rPr>
            </w:pPr>
            <w:r>
              <w:rPr>
                <w:rFonts w:hint="eastAsia" w:ascii="宋体" w:hAnsi="宋体" w:cs="宋体"/>
                <w:color w:val="auto"/>
                <w:sz w:val="20"/>
                <w:szCs w:val="20"/>
              </w:rPr>
              <w:t xml:space="preserve">2、供电采用国标三相五线制线缆；</w:t>
            </w:r>
            <w:r/>
          </w:p>
          <w:p>
            <w:pPr>
              <w:jc w:val="left"/>
              <w:rPr>
                <w:rFonts w:hint="eastAsia" w:ascii="宋体" w:hAnsi="宋体" w:cs="宋体"/>
                <w:color w:val="auto"/>
                <w:sz w:val="20"/>
                <w:szCs w:val="20"/>
              </w:rPr>
            </w:pPr>
            <w:r>
              <w:rPr>
                <w:rFonts w:hint="eastAsia" w:ascii="宋体" w:hAnsi="宋体" w:cs="宋体"/>
                <w:color w:val="auto"/>
                <w:sz w:val="20"/>
                <w:szCs w:val="20"/>
              </w:rPr>
              <w:t xml:space="preserve">3、通信采用不低于ANSI/TIA-568-C.2-2009标准六类网线。</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视频会议终端</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1、采用分体式结构，嵌入式架构，非PC、非工控机架构；</w:t>
            </w:r>
            <w:r/>
          </w:p>
          <w:p>
            <w:pPr>
              <w:jc w:val="left"/>
              <w:rPr>
                <w:rFonts w:hint="eastAsia" w:ascii="宋体" w:hAnsi="宋体" w:cs="宋体"/>
                <w:color w:val="auto"/>
                <w:sz w:val="20"/>
                <w:szCs w:val="20"/>
              </w:rPr>
            </w:pPr>
            <w:r>
              <w:rPr>
                <w:rFonts w:hint="eastAsia" w:ascii="宋体" w:hAnsi="宋体" w:cs="宋体"/>
                <w:color w:val="auto"/>
                <w:sz w:val="20"/>
                <w:szCs w:val="20"/>
              </w:rPr>
              <w:t xml:space="preserve">2、采用国产自主的操作系统及编解码处理芯片；</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3、支持不少于ITU-T H.323、IETF SIP协议；</w:t>
            </w:r>
            <w:r/>
          </w:p>
          <w:p>
            <w:pPr>
              <w:jc w:val="left"/>
              <w:rPr>
                <w:rFonts w:hint="eastAsia" w:ascii="宋体" w:hAnsi="宋体" w:cs="宋体"/>
                <w:color w:val="auto"/>
                <w:sz w:val="20"/>
                <w:szCs w:val="20"/>
              </w:rPr>
            </w:pPr>
            <w:r>
              <w:rPr>
                <w:rFonts w:hint="eastAsia" w:ascii="宋体" w:hAnsi="宋体" w:cs="宋体"/>
                <w:color w:val="auto"/>
                <w:sz w:val="20"/>
                <w:szCs w:val="20"/>
              </w:rPr>
              <w:t xml:space="preserve">4、支持不少于H.264 BP、H.264 HP、H.265等图像编码协议；</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5、支持不低于4K30fps、1080p60fps、1080p30fps、720p60 fps、720p30fps等分辨率；</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6、支持不少于H.239和BFCP双流协议；</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7、支持主流达到4K30fps情况下，辅流同时达到不低于4K30fps；</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8、支持不少于2个10M/100M/1000M自适应网口，支持IPv4和IPv6双协议栈；</w:t>
            </w:r>
            <w:r/>
          </w:p>
          <w:p>
            <w:pPr>
              <w:jc w:val="left"/>
              <w:rPr>
                <w:rFonts w:hint="eastAsia" w:ascii="宋体" w:hAnsi="宋体" w:cs="宋体"/>
                <w:color w:val="auto"/>
                <w:sz w:val="20"/>
                <w:szCs w:val="20"/>
              </w:rPr>
            </w:pPr>
            <w:r>
              <w:rPr>
                <w:rFonts w:hint="eastAsia" w:ascii="宋体" w:hAnsi="宋体" w:cs="宋体"/>
                <w:color w:val="auto"/>
                <w:sz w:val="20"/>
                <w:szCs w:val="20"/>
              </w:rPr>
              <w:t xml:space="preserve">9、支持断点续传功能，终端升级过程中发生网络中断、断电重启，恢复后可断点续传。</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29</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视频会议摄像机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1、支持≥1/2.5英寸CMOS成像芯片，≥851万像素，支持WDR图像数字宽动态功能；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2、支持不少于1080p60、1080p50、1080p30、1080p25、720p60、720p50等视频输出格式；</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3、支持≥2路高清视频输出接口；</w:t>
            </w:r>
            <w:r/>
          </w:p>
          <w:p>
            <w:pPr>
              <w:jc w:val="left"/>
              <w:rPr>
                <w:rFonts w:hint="eastAsia" w:ascii="宋体" w:hAnsi="宋体" w:cs="宋体"/>
                <w:color w:val="auto"/>
                <w:sz w:val="20"/>
                <w:szCs w:val="20"/>
              </w:rPr>
            </w:pPr>
            <w:r>
              <w:rPr>
                <w:rFonts w:hint="eastAsia" w:ascii="宋体" w:hAnsi="宋体" w:cs="宋体"/>
                <w:color w:val="auto"/>
                <w:sz w:val="20"/>
                <w:szCs w:val="20"/>
              </w:rPr>
              <w:t xml:space="preserve">4、支持≥2个RS-232控制接口，支持标准VISCA控制协议。</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30</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55寸返看屏</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rPr>
              <w:t xml:space="preserve">屏幕尺寸≥55英寸，分辨率≥3840*2160，配备HDMI接口。</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31</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返看屏移动架</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bCs/>
                <w:color w:val="auto"/>
                <w:sz w:val="20"/>
                <w:szCs w:val="20"/>
              </w:rPr>
              <w:t xml:space="preserve">55寸返看屏移动架</w:t>
            </w:r>
            <w:r>
              <w:rPr>
                <w:rFonts w:hint="eastAsia" w:ascii="宋体" w:hAnsi="宋体" w:cs="宋体"/>
                <w:color w:val="auto"/>
                <w:sz w:val="20"/>
                <w:szCs w:val="20"/>
              </w:rPr>
              <w:t xml:space="preserve">，</w:t>
            </w:r>
            <w:r>
              <w:rPr>
                <w:rFonts w:hint="eastAsia" w:ascii="宋体" w:hAnsi="宋体" w:cs="宋体"/>
                <w:bCs/>
                <w:color w:val="auto"/>
                <w:sz w:val="20"/>
                <w:szCs w:val="20"/>
              </w:rPr>
              <w:t xml:space="preserve">采用SPCC加粗加厚冷轧钢板，承重不小于100KG，5档高度调节。</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32</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65寸辅助屏</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rPr>
              <w:t xml:space="preserve">屏幕尺寸≥65英寸，分辨率≥3840*2160，配备HDMI接口。</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33</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辅助屏吊架</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rPr>
              <w:t xml:space="preserve">65寸辅助屏吊架，伸缩长度可调节，总长度不低于1.5M，上下倾角-5°-15°可调，承重大于50kg。</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34</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55寸拼接屏</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rPr>
              <w:t xml:space="preserve">双边拼缝：≤1.8mm；分辨率：≥1920*1080；亮度：≥500cd/m2；输入接口：≥HDMI*1。</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35</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55寸拼接屏液压支架</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bCs/>
                <w:color w:val="auto"/>
                <w:sz w:val="20"/>
                <w:szCs w:val="20"/>
              </w:rPr>
              <w:t xml:space="preserve">55寸拼接屏液压支架</w:t>
            </w:r>
            <w:r>
              <w:rPr>
                <w:rFonts w:hint="eastAsia" w:ascii="宋体" w:hAnsi="宋体" w:cs="宋体"/>
                <w:color w:val="auto"/>
                <w:sz w:val="20"/>
                <w:szCs w:val="20"/>
              </w:rPr>
              <w:t xml:space="preserve">；SPCC冷轧钢，承重≥50KG。</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55寸立卧式控制终端</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不小于55寸立卧式控制终端，分辨率≥1920*1080，电容触摸屏，触摸响应时间≤5毫秒，内置系统操作模块。</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有线键鼠</w:t>
            </w:r>
            <w:r/>
          </w:p>
        </w:tc>
        <w:tc>
          <w:tcPr>
            <w:tcW w:w="7696" w:type="dxa"/>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lang w:bidi="ar"/>
              </w:rPr>
              <w:t xml:space="preserve">有线键鼠套装，USB接口，全尺寸键盘，光学鼠标。</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46寸拼接屏</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双边拼缝：≤0.88mm；分辨率：≥1920*1080；输入接口：≥HDMI*1。</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39</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高清解码器</w:t>
            </w:r>
            <w:r/>
          </w:p>
        </w:tc>
        <w:tc>
          <w:tcPr>
            <w:tcW w:w="7696" w:type="dxa"/>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lang w:bidi="ar"/>
              </w:rPr>
              <w:t xml:space="preserve">支持不少于SVAC/H.264/H.265/MJPEG标准网络视频流解码；支持单屏不低于36画面分割；支持多屏融合拼接；支持预案轮巡；支持不少于9路HDMI输出。</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46寸拼接屏液压支架</w:t>
            </w:r>
            <w:r/>
          </w:p>
        </w:tc>
        <w:tc>
          <w:tcPr>
            <w:tcW w:w="7696" w:type="dxa"/>
            <w:vAlign w:val="center"/>
            <w:textDirection w:val="lrTb"/>
            <w:noWrap w:val="false"/>
          </w:tcPr>
          <w:p>
            <w:pPr>
              <w:jc w:val="left"/>
              <w:widowControl/>
              <w:rPr>
                <w:rFonts w:hint="eastAsia" w:ascii="宋体" w:hAnsi="宋体" w:cs="宋体"/>
                <w:color w:val="auto"/>
                <w:sz w:val="20"/>
                <w:szCs w:val="20"/>
              </w:rPr>
            </w:pPr>
            <w:r>
              <w:rPr>
                <w:rFonts w:hint="eastAsia" w:ascii="宋体" w:hAnsi="宋体" w:cs="宋体"/>
                <w:color w:val="auto"/>
                <w:sz w:val="20"/>
                <w:szCs w:val="20"/>
                <w:lang w:bidi="ar"/>
              </w:rPr>
              <w:t xml:space="preserve">46寸拼接屏液压支架；</w:t>
            </w:r>
            <w:r>
              <w:rPr>
                <w:rFonts w:hint="eastAsia" w:ascii="宋体" w:hAnsi="宋体" w:cs="宋体"/>
                <w:color w:val="auto"/>
                <w:sz w:val="20"/>
                <w:szCs w:val="20"/>
              </w:rPr>
              <w:t xml:space="preserve">SPCC冷轧钢，承重≥50KG。</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41</w:t>
            </w:r>
            <w:r/>
          </w:p>
        </w:tc>
        <w:tc>
          <w:tcPr>
            <w:tcW w:w="1448" w:type="dxa"/>
            <w:vAlign w:val="center"/>
            <w:textDirection w:val="lrTb"/>
            <w:noWrap w:val="false"/>
          </w:tcPr>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数字媒体发布系统</w:t>
            </w:r>
            <w:r/>
          </w:p>
        </w:tc>
        <w:tc>
          <w:tcPr>
            <w:tcW w:w="7696" w:type="dxa"/>
            <w:vAlign w:val="center"/>
            <w:textDirection w:val="lrTb"/>
            <w:noWrap w:val="false"/>
          </w:tcPr>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主控端：具有权限管理、审批及非审批流程权限、布局管理、节目管理、终端管理等功能，系统支持不同种类的终端的统一管理和集中控制，不同终端可播放不同内容，包括远程界面监控、开关机、音量调节、开关屏设置、远程重启等，同时可以查看终端的存储区占用率、终端设备日志，支持定时发送功能，节目发送完毕后支持查看下载进度；</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2、系统支持终端资源的离线化播放，即除了需要实时更新的显示信息需与后台交互查询后获得，其余资源均本地化存储，保证即使下次开机断网，也可以正常展现已保留的数据内容；</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3、每个屏幕可以根据客户需要任意划分，划分的每个分屏区域里可以混合播放各种格式的多媒体文件（包括视频、图片、PPT、文字等）；</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具有多种播放时间控制设置，播放列表可设定多个媒体内容的播放时间次序，可定时播放、指定时间播放、随时插播、指定年月日时分秒播放、空闲播放、手动触发播放、传感器自动触发播放、循环播放、优先播放、计次播放、延时播放”等，可以对发布时间（开始，持续，结束）、发布顺序等进行编制和定义管理；</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5、可支持多种显示终端,可以将LED等显示设备通过该信息发布系统进行统一集中管理和播放，支持异型LED屏的显示；</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6、可以通过各种通讯方式将数据发送到屏幕上，并且不需要一直在线，数据发送完毕后，媒体信息可以在播放显示端脱机显示，对带宽占用有限；</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7、远程检测功能：管理端实时监测各个播放端的系统运行情况和任务播放情况，可以对各个播放端进行接管控制，可以在管理端实时查看播放端的播放内容及实时的播放画面；</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远程指令和操作：管理端实时监测各个播放端的系统运行情况和任务播放情况，可以对各个播放端进行接管控制，可以在管理端实时查看播放端的播放内容及实时的播放画面，管理端可以通过网络控制显示端终端定时和随时的远程开机、关机、重启、定时开机、定时关机、远程控制、远程桌面接管等操作，可以通过主控端对各显示终端进行过期播放文件的清空管理，以保证显示端的存储空间；</w:t>
            </w:r>
            <w:r/>
          </w:p>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9、支持移动设备终端（手机端、平板电脑等）对终端进行重启，开关机，控制终端音量大小，清理终端节目与素材，发送终端时间同步。可对接各种终端；</w:t>
            </w:r>
            <w:r/>
          </w:p>
          <w:p>
            <w:pPr>
              <w:pStyle w:val="844"/>
              <w:rPr>
                <w:rFonts w:hint="eastAsia" w:hAnsi="宋体" w:cs="宋体"/>
                <w:color w:val="auto"/>
              </w:rPr>
            </w:pPr>
            <w:r>
              <w:rPr>
                <w:rFonts w:hint="eastAsia" w:hAnsi="宋体" w:cs="宋体"/>
                <w:color w:val="auto"/>
                <w:sz w:val="20"/>
                <w:szCs w:val="20"/>
                <w:lang w:bidi="ar"/>
              </w:rPr>
              <w:t xml:space="preserve">10、</w:t>
            </w:r>
            <w:r>
              <w:rPr>
                <w:rFonts w:hint="eastAsia" w:hAnsi="宋体" w:cs="宋体"/>
                <w:color w:val="auto"/>
                <w:sz w:val="20"/>
                <w:szCs w:val="20"/>
              </w:rPr>
              <w:t xml:space="preserve">与学校基础数据平台（pc端及</w:t>
            </w:r>
            <w:r>
              <w:rPr>
                <w:rFonts w:hint="eastAsia" w:hAnsi="宋体" w:cs="宋体"/>
                <w:color w:val="auto"/>
                <w:sz w:val="20"/>
                <w:szCs w:val="20"/>
                <w:lang w:bidi="ar"/>
              </w:rPr>
              <w:t xml:space="preserve">移动端）进行对接（采购人负责协调对接工作，联系方式详见第一章）。</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信息发布许可</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lang w:bidi="ar"/>
              </w:rPr>
              <w:t xml:space="preserve">信息发布</w:t>
            </w:r>
            <w:r>
              <w:rPr>
                <w:rFonts w:hint="eastAsia" w:ascii="宋体" w:hAnsi="宋体" w:cs="宋体"/>
                <w:color w:val="auto"/>
                <w:sz w:val="20"/>
                <w:szCs w:val="20"/>
              </w:rPr>
              <w:t xml:space="preserve">显示端授权许可。</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22寸信息发布屏</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1、显示尺寸：≥22寸；</w:t>
            </w:r>
            <w:r/>
          </w:p>
          <w:p>
            <w:pPr>
              <w:jc w:val="left"/>
              <w:rPr>
                <w:rFonts w:hint="eastAsia" w:ascii="宋体" w:hAnsi="宋体" w:cs="宋体"/>
                <w:color w:val="auto"/>
                <w:sz w:val="20"/>
                <w:szCs w:val="20"/>
              </w:rPr>
            </w:pPr>
            <w:r>
              <w:rPr>
                <w:rFonts w:hint="eastAsia" w:ascii="宋体" w:hAnsi="宋体" w:cs="宋体"/>
                <w:color w:val="auto"/>
                <w:sz w:val="20"/>
                <w:szCs w:val="20"/>
              </w:rPr>
              <w:t xml:space="preserve">2、显示比例：16:9；</w:t>
            </w:r>
            <w:r/>
          </w:p>
          <w:p>
            <w:pPr>
              <w:jc w:val="left"/>
              <w:rPr>
                <w:rFonts w:hint="eastAsia" w:ascii="宋体" w:hAnsi="宋体" w:cs="宋体"/>
                <w:color w:val="auto"/>
                <w:sz w:val="20"/>
                <w:szCs w:val="20"/>
              </w:rPr>
            </w:pPr>
            <w:r>
              <w:rPr>
                <w:rFonts w:hint="eastAsia" w:ascii="宋体" w:hAnsi="宋体" w:cs="宋体"/>
                <w:color w:val="auto"/>
                <w:sz w:val="20"/>
                <w:szCs w:val="20"/>
              </w:rPr>
              <w:t xml:space="preserve">3、分辨率：≥1920(H)x1080(V) ；</w:t>
            </w:r>
            <w:r/>
          </w:p>
          <w:p>
            <w:pPr>
              <w:jc w:val="left"/>
              <w:rPr>
                <w:rFonts w:hint="eastAsia" w:ascii="宋体" w:hAnsi="宋体" w:cs="宋体"/>
                <w:color w:val="auto"/>
                <w:sz w:val="20"/>
                <w:szCs w:val="20"/>
              </w:rPr>
            </w:pPr>
            <w:r>
              <w:rPr>
                <w:rFonts w:hint="eastAsia" w:ascii="宋体" w:hAnsi="宋体" w:cs="宋体"/>
                <w:color w:val="auto"/>
                <w:sz w:val="20"/>
                <w:szCs w:val="20"/>
              </w:rPr>
              <w:t xml:space="preserve">4、平均亮度：≥350cd/㎡ ；</w:t>
            </w:r>
            <w:r/>
          </w:p>
          <w:p>
            <w:pPr>
              <w:jc w:val="left"/>
              <w:rPr>
                <w:rFonts w:hint="eastAsia" w:ascii="宋体" w:hAnsi="宋体" w:cs="宋体"/>
                <w:color w:val="auto"/>
                <w:sz w:val="20"/>
                <w:szCs w:val="20"/>
              </w:rPr>
            </w:pPr>
            <w:r>
              <w:rPr>
                <w:rFonts w:hint="eastAsia" w:ascii="宋体" w:hAnsi="宋体" w:cs="宋体"/>
                <w:color w:val="auto"/>
                <w:sz w:val="20"/>
                <w:szCs w:val="20"/>
              </w:rPr>
              <w:t xml:space="preserve">5、对比度：≥3000:1；</w:t>
            </w:r>
            <w:r/>
          </w:p>
          <w:p>
            <w:pPr>
              <w:jc w:val="left"/>
              <w:rPr>
                <w:rFonts w:hint="eastAsia" w:ascii="宋体" w:hAnsi="宋体" w:cs="宋体"/>
                <w:color w:val="auto"/>
                <w:sz w:val="20"/>
                <w:szCs w:val="20"/>
              </w:rPr>
            </w:pPr>
            <w:r>
              <w:rPr>
                <w:rFonts w:hint="eastAsia" w:ascii="宋体" w:hAnsi="宋体" w:cs="宋体"/>
                <w:color w:val="auto"/>
                <w:sz w:val="20"/>
                <w:szCs w:val="20"/>
              </w:rPr>
              <w:t xml:space="preserve">6、使用寿命：≥60000小时；</w:t>
            </w:r>
            <w:r/>
          </w:p>
          <w:p>
            <w:pPr>
              <w:jc w:val="left"/>
              <w:rPr>
                <w:rFonts w:hint="eastAsia" w:ascii="宋体" w:hAnsi="宋体" w:cs="宋体"/>
                <w:color w:val="auto"/>
                <w:sz w:val="20"/>
                <w:szCs w:val="20"/>
              </w:rPr>
            </w:pPr>
            <w:r>
              <w:rPr>
                <w:rFonts w:hint="eastAsia" w:ascii="宋体" w:hAnsi="宋体" w:cs="宋体"/>
                <w:color w:val="auto"/>
                <w:sz w:val="20"/>
                <w:szCs w:val="20"/>
              </w:rPr>
              <w:t xml:space="preserve">7、内置媒体播放器：≥四核处理器，4G内存，64G固态存储 内置音响；</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32寸信息发布屏</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1、显示尺寸：≥</w:t>
            </w:r>
            <w:r>
              <w:rPr>
                <w:rFonts w:hint="eastAsia" w:ascii="宋体" w:hAnsi="宋体" w:cs="宋体"/>
                <w:color w:val="auto"/>
                <w:sz w:val="20"/>
                <w:szCs w:val="20"/>
                <w:lang w:bidi="ar"/>
              </w:rPr>
              <w:t xml:space="preserve">32</w:t>
            </w:r>
            <w:r>
              <w:rPr>
                <w:rFonts w:hint="eastAsia" w:ascii="宋体" w:hAnsi="宋体" w:cs="宋体"/>
                <w:color w:val="auto"/>
                <w:sz w:val="20"/>
                <w:szCs w:val="20"/>
              </w:rPr>
              <w:t xml:space="preserve">寸；</w:t>
            </w:r>
            <w:r/>
          </w:p>
          <w:p>
            <w:pPr>
              <w:jc w:val="left"/>
              <w:rPr>
                <w:rFonts w:hint="eastAsia" w:ascii="宋体" w:hAnsi="宋体" w:cs="宋体"/>
                <w:color w:val="auto"/>
                <w:sz w:val="20"/>
                <w:szCs w:val="20"/>
              </w:rPr>
            </w:pPr>
            <w:r>
              <w:rPr>
                <w:rFonts w:hint="eastAsia" w:ascii="宋体" w:hAnsi="宋体" w:cs="宋体"/>
                <w:color w:val="auto"/>
                <w:sz w:val="20"/>
                <w:szCs w:val="20"/>
              </w:rPr>
              <w:t xml:space="preserve">2、显示比例：16:9；</w:t>
            </w:r>
            <w:r/>
          </w:p>
          <w:p>
            <w:pPr>
              <w:jc w:val="left"/>
              <w:rPr>
                <w:rFonts w:hint="eastAsia" w:ascii="宋体" w:hAnsi="宋体" w:cs="宋体"/>
                <w:color w:val="auto"/>
                <w:sz w:val="20"/>
                <w:szCs w:val="20"/>
              </w:rPr>
            </w:pPr>
            <w:r>
              <w:rPr>
                <w:rFonts w:hint="eastAsia" w:ascii="宋体" w:hAnsi="宋体" w:cs="宋体"/>
                <w:color w:val="auto"/>
                <w:sz w:val="20"/>
                <w:szCs w:val="20"/>
              </w:rPr>
              <w:t xml:space="preserve">3、分辨率：≥1920(H)x1080(V) ；</w:t>
            </w:r>
            <w:r/>
          </w:p>
          <w:p>
            <w:pPr>
              <w:jc w:val="left"/>
              <w:rPr>
                <w:rFonts w:hint="eastAsia" w:ascii="宋体" w:hAnsi="宋体" w:cs="宋体"/>
                <w:color w:val="auto"/>
                <w:sz w:val="20"/>
                <w:szCs w:val="20"/>
              </w:rPr>
            </w:pPr>
            <w:r>
              <w:rPr>
                <w:rFonts w:hint="eastAsia" w:ascii="宋体" w:hAnsi="宋体" w:cs="宋体"/>
                <w:color w:val="auto"/>
                <w:sz w:val="20"/>
                <w:szCs w:val="20"/>
              </w:rPr>
              <w:t xml:space="preserve">4、平均亮度：≥350cd/㎡ ；</w:t>
            </w:r>
            <w:r/>
          </w:p>
          <w:p>
            <w:pPr>
              <w:jc w:val="left"/>
              <w:rPr>
                <w:rFonts w:hint="eastAsia" w:ascii="宋体" w:hAnsi="宋体" w:cs="宋体"/>
                <w:color w:val="auto"/>
                <w:sz w:val="20"/>
                <w:szCs w:val="20"/>
              </w:rPr>
            </w:pPr>
            <w:r>
              <w:rPr>
                <w:rFonts w:hint="eastAsia" w:ascii="宋体" w:hAnsi="宋体" w:cs="宋体"/>
                <w:color w:val="auto"/>
                <w:sz w:val="20"/>
                <w:szCs w:val="20"/>
              </w:rPr>
              <w:t xml:space="preserve">5、对比度：≥3000:1；</w:t>
            </w:r>
            <w:r/>
          </w:p>
          <w:p>
            <w:pPr>
              <w:jc w:val="left"/>
              <w:rPr>
                <w:rFonts w:hint="eastAsia" w:ascii="宋体" w:hAnsi="宋体" w:cs="宋体"/>
                <w:color w:val="auto"/>
                <w:sz w:val="20"/>
                <w:szCs w:val="20"/>
              </w:rPr>
            </w:pPr>
            <w:r>
              <w:rPr>
                <w:rFonts w:hint="eastAsia" w:ascii="宋体" w:hAnsi="宋体" w:cs="宋体"/>
                <w:color w:val="auto"/>
                <w:sz w:val="20"/>
                <w:szCs w:val="20"/>
              </w:rPr>
              <w:t xml:space="preserve">6、使用寿命：≥60000小时；</w:t>
            </w:r>
            <w:r/>
          </w:p>
          <w:p>
            <w:pPr>
              <w:jc w:val="left"/>
              <w:rPr>
                <w:rFonts w:hint="eastAsia" w:ascii="宋体" w:hAnsi="宋体" w:cs="宋体"/>
                <w:color w:val="auto"/>
                <w:sz w:val="20"/>
                <w:szCs w:val="20"/>
              </w:rPr>
            </w:pPr>
            <w:r>
              <w:rPr>
                <w:rFonts w:hint="eastAsia" w:ascii="宋体" w:hAnsi="宋体" w:cs="宋体"/>
                <w:color w:val="auto"/>
                <w:sz w:val="20"/>
                <w:szCs w:val="20"/>
              </w:rPr>
              <w:t xml:space="preserve">7、内置媒体播放器：≥四核处理器，4G内存，64G固态存储 内置音响；</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55寸信息发布屏</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1、显示尺寸：≥</w:t>
            </w:r>
            <w:r>
              <w:rPr>
                <w:rFonts w:hint="eastAsia" w:ascii="宋体" w:hAnsi="宋体" w:cs="宋体"/>
                <w:color w:val="auto"/>
                <w:sz w:val="20"/>
                <w:szCs w:val="20"/>
                <w:lang w:bidi="ar"/>
              </w:rPr>
              <w:t xml:space="preserve">55</w:t>
            </w:r>
            <w:r>
              <w:rPr>
                <w:rFonts w:hint="eastAsia" w:ascii="宋体" w:hAnsi="宋体" w:cs="宋体"/>
                <w:color w:val="auto"/>
                <w:sz w:val="20"/>
                <w:szCs w:val="20"/>
              </w:rPr>
              <w:t xml:space="preserve">寸；</w:t>
            </w:r>
            <w:r/>
          </w:p>
          <w:p>
            <w:pPr>
              <w:jc w:val="left"/>
              <w:rPr>
                <w:rFonts w:hint="eastAsia" w:ascii="宋体" w:hAnsi="宋体" w:cs="宋体"/>
                <w:color w:val="auto"/>
                <w:sz w:val="20"/>
                <w:szCs w:val="20"/>
              </w:rPr>
            </w:pPr>
            <w:r>
              <w:rPr>
                <w:rFonts w:hint="eastAsia" w:ascii="宋体" w:hAnsi="宋体" w:cs="宋体"/>
                <w:color w:val="auto"/>
                <w:sz w:val="20"/>
                <w:szCs w:val="20"/>
              </w:rPr>
              <w:t xml:space="preserve">2、显示比例：16:9；</w:t>
            </w:r>
            <w:r/>
          </w:p>
          <w:p>
            <w:pPr>
              <w:jc w:val="left"/>
              <w:rPr>
                <w:rFonts w:hint="eastAsia" w:ascii="宋体" w:hAnsi="宋体" w:cs="宋体"/>
                <w:color w:val="auto"/>
                <w:sz w:val="20"/>
                <w:szCs w:val="20"/>
              </w:rPr>
            </w:pPr>
            <w:r>
              <w:rPr>
                <w:rFonts w:hint="eastAsia" w:ascii="宋体" w:hAnsi="宋体" w:cs="宋体"/>
                <w:color w:val="auto"/>
                <w:sz w:val="20"/>
                <w:szCs w:val="20"/>
              </w:rPr>
              <w:t xml:space="preserve">3、分辨率：≥1920(H)x1080(V) ；</w:t>
            </w:r>
            <w:r/>
          </w:p>
          <w:p>
            <w:pPr>
              <w:jc w:val="left"/>
              <w:rPr>
                <w:rFonts w:hint="eastAsia" w:ascii="宋体" w:hAnsi="宋体" w:cs="宋体"/>
                <w:color w:val="auto"/>
                <w:sz w:val="20"/>
                <w:szCs w:val="20"/>
              </w:rPr>
            </w:pPr>
            <w:r>
              <w:rPr>
                <w:rFonts w:hint="eastAsia" w:ascii="宋体" w:hAnsi="宋体" w:cs="宋体"/>
                <w:color w:val="auto"/>
                <w:sz w:val="20"/>
                <w:szCs w:val="20"/>
              </w:rPr>
              <w:t xml:space="preserve">4、平均亮度：≥350cd/㎡ ；</w:t>
            </w:r>
            <w:r/>
          </w:p>
          <w:p>
            <w:pPr>
              <w:jc w:val="left"/>
              <w:rPr>
                <w:rFonts w:hint="eastAsia" w:ascii="宋体" w:hAnsi="宋体" w:cs="宋体"/>
                <w:color w:val="auto"/>
                <w:sz w:val="20"/>
                <w:szCs w:val="20"/>
              </w:rPr>
            </w:pPr>
            <w:r>
              <w:rPr>
                <w:rFonts w:hint="eastAsia" w:ascii="宋体" w:hAnsi="宋体" w:cs="宋体"/>
                <w:color w:val="auto"/>
                <w:sz w:val="20"/>
                <w:szCs w:val="20"/>
              </w:rPr>
              <w:t xml:space="preserve">5、对比度：≥3000:1；</w:t>
            </w:r>
            <w:r/>
          </w:p>
          <w:p>
            <w:pPr>
              <w:jc w:val="left"/>
              <w:rPr>
                <w:rFonts w:hint="eastAsia" w:ascii="宋体" w:hAnsi="宋体" w:cs="宋体"/>
                <w:color w:val="auto"/>
                <w:sz w:val="20"/>
                <w:szCs w:val="20"/>
              </w:rPr>
            </w:pPr>
            <w:r>
              <w:rPr>
                <w:rFonts w:hint="eastAsia" w:ascii="宋体" w:hAnsi="宋体" w:cs="宋体"/>
                <w:color w:val="auto"/>
                <w:sz w:val="20"/>
                <w:szCs w:val="20"/>
              </w:rPr>
              <w:t xml:space="preserve">6、使用寿命：≥60000小时；</w:t>
            </w:r>
            <w:r/>
          </w:p>
          <w:p>
            <w:pPr>
              <w:jc w:val="left"/>
              <w:rPr>
                <w:rFonts w:hint="eastAsia" w:ascii="宋体" w:hAnsi="宋体" w:cs="宋体"/>
                <w:color w:val="auto"/>
                <w:sz w:val="20"/>
                <w:szCs w:val="20"/>
              </w:rPr>
            </w:pPr>
            <w:r>
              <w:rPr>
                <w:rFonts w:hint="eastAsia" w:ascii="宋体" w:hAnsi="宋体" w:cs="宋体"/>
                <w:color w:val="auto"/>
                <w:sz w:val="20"/>
                <w:szCs w:val="20"/>
              </w:rPr>
              <w:t xml:space="preserve">7、内置媒体播放器：≥四核处理器，4G内存，64G固态存储 内置音响；</w:t>
            </w:r>
            <w:r/>
          </w:p>
          <w:p>
            <w:pPr>
              <w:jc w:val="left"/>
              <w:widowControl/>
              <w:rPr>
                <w:rFonts w:hint="eastAsia" w:ascii="宋体" w:hAnsi="宋体" w:cs="宋体"/>
                <w:color w:val="auto"/>
                <w:sz w:val="20"/>
                <w:szCs w:val="20"/>
              </w:rPr>
            </w:pPr>
            <w:r>
              <w:rPr>
                <w:rFonts w:hint="eastAsia" w:ascii="宋体" w:hAnsi="宋体" w:cs="宋体"/>
                <w:color w:val="auto"/>
                <w:sz w:val="20"/>
                <w:szCs w:val="20"/>
              </w:rPr>
              <w:t xml:space="preserve">8、支持远程开关机，远程网络唤醒，给电自动开机。</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P4户外LED全彩屏1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 w:val="20"/>
                <w:szCs w:val="20"/>
                <w:lang w:bidi="ar"/>
              </w:rPr>
              <w:t xml:space="preserve">(签订合同时提供相应证明材料，如：白皮书、彩页、手册、网站截图、具有CMA标识的检测报告)</w:t>
            </w:r>
            <w:r/>
          </w:p>
          <w:p>
            <w:pPr>
              <w:jc w:val="left"/>
              <w:rPr>
                <w:rFonts w:hint="eastAsia" w:ascii="宋体" w:hAnsi="宋体" w:cs="宋体"/>
                <w:color w:val="auto"/>
                <w:sz w:val="20"/>
                <w:szCs w:val="20"/>
              </w:rPr>
            </w:pPr>
            <w:r>
              <w:rPr>
                <w:rFonts w:hint="eastAsia" w:ascii="宋体" w:hAnsi="宋体" w:cs="宋体"/>
                <w:color w:val="auto"/>
                <w:sz w:val="20"/>
                <w:szCs w:val="20"/>
              </w:rPr>
              <w:t xml:space="preserve">2、色温：8</w:t>
            </w:r>
            <w:r>
              <w:rPr>
                <w:rFonts w:ascii="宋体" w:hAnsi="宋体" w:cs="宋体"/>
                <w:color w:val="auto"/>
                <w:sz w:val="20"/>
                <w:szCs w:val="20"/>
              </w:rPr>
              <w:t xml:space="preserve">00</w:t>
            </w:r>
            <w:r>
              <w:rPr>
                <w:rFonts w:hint="eastAsia" w:ascii="宋体" w:hAnsi="宋体" w:cs="宋体"/>
                <w:color w:val="auto"/>
                <w:sz w:val="20"/>
                <w:szCs w:val="20"/>
              </w:rPr>
              <w:t xml:space="preserve">K—1</w:t>
            </w:r>
            <w:r>
              <w:rPr>
                <w:rFonts w:ascii="宋体" w:hAnsi="宋体" w:cs="宋体"/>
                <w:color w:val="auto"/>
                <w:sz w:val="20"/>
                <w:szCs w:val="20"/>
              </w:rPr>
              <w:t xml:space="preserve">1</w:t>
            </w:r>
            <w:r>
              <w:rPr>
                <w:rFonts w:hint="eastAsia" w:ascii="宋体" w:hAnsi="宋体" w:cs="宋体"/>
                <w:color w:val="auto"/>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color w:val="auto"/>
                <w:sz w:val="20"/>
                <w:szCs w:val="20"/>
              </w:rPr>
            </w:pPr>
            <w:r>
              <w:rPr>
                <w:rFonts w:hint="eastAsia" w:ascii="宋体" w:hAnsi="宋体" w:cs="宋体"/>
                <w:color w:val="auto"/>
                <w:sz w:val="20"/>
                <w:szCs w:val="20"/>
              </w:rPr>
              <w:t xml:space="preserve">3.平整度和拼缝间隙≤0.1mm； 峰值功耗≤</w:t>
            </w:r>
            <w:r>
              <w:rPr>
                <w:rFonts w:ascii="宋体" w:hAnsi="宋体" w:cs="宋体"/>
                <w:color w:val="auto"/>
                <w:sz w:val="20"/>
                <w:szCs w:val="20"/>
              </w:rPr>
              <w:t xml:space="preserve">710</w:t>
            </w:r>
            <w:r>
              <w:rPr>
                <w:rFonts w:hint="eastAsia" w:ascii="宋体" w:hAnsi="宋体" w:cs="宋体"/>
                <w:color w:val="auto"/>
                <w:sz w:val="20"/>
                <w:szCs w:val="20"/>
              </w:rPr>
              <w:t xml:space="preserve">W/m²；平均功耗≤350W/m²；</w:t>
            </w:r>
            <w:r/>
          </w:p>
          <w:p>
            <w:pPr>
              <w:jc w:val="left"/>
              <w:rPr>
                <w:rFonts w:hint="eastAsia" w:ascii="宋体" w:hAnsi="宋体" w:cs="宋体"/>
                <w:color w:val="auto"/>
                <w:sz w:val="20"/>
                <w:szCs w:val="20"/>
              </w:rPr>
            </w:pPr>
            <w:r>
              <w:rPr>
                <w:rFonts w:hint="eastAsia" w:ascii="宋体" w:hAnsi="宋体" w:cs="宋体"/>
                <w:color w:val="auto"/>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color w:val="auto"/>
                <w:sz w:val="20"/>
                <w:szCs w:val="20"/>
              </w:rPr>
            </w:pPr>
            <w:r>
              <w:rPr>
                <w:rFonts w:hint="eastAsia" w:ascii="宋体" w:hAnsi="宋体" w:cs="宋体"/>
                <w:color w:val="auto"/>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color w:val="auto"/>
                <w:sz w:val="20"/>
                <w:szCs w:val="20"/>
              </w:rPr>
            </w:pPr>
            <w:r>
              <w:rPr>
                <w:rFonts w:hint="eastAsia" w:ascii="宋体" w:hAnsi="宋体" w:cs="宋体"/>
                <w:color w:val="auto"/>
                <w:sz w:val="20"/>
                <w:szCs w:val="20"/>
              </w:rPr>
              <w:t xml:space="preserve">6、配套室外全防水箱体，冷轧钢板，钢板厚度≥1.2mm；</w:t>
            </w:r>
            <w:r/>
          </w:p>
          <w:p>
            <w:pPr>
              <w:jc w:val="left"/>
              <w:rPr>
                <w:rFonts w:hint="eastAsia" w:ascii="宋体" w:hAnsi="宋体" w:cs="宋体"/>
                <w:color w:val="auto"/>
                <w:sz w:val="20"/>
                <w:szCs w:val="20"/>
              </w:rPr>
            </w:pPr>
            <w:r>
              <w:rPr>
                <w:rFonts w:hint="eastAsia" w:ascii="宋体" w:hAnsi="宋体" w:cs="宋体"/>
                <w:color w:val="auto"/>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color w:val="auto"/>
                <w:sz w:val="20"/>
                <w:szCs w:val="20"/>
              </w:rPr>
            </w:pPr>
            <w:r>
              <w:rPr>
                <w:rFonts w:hint="eastAsia" w:ascii="宋体" w:hAnsi="宋体" w:cs="宋体"/>
                <w:color w:val="auto"/>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color w:val="auto"/>
              </w:rPr>
            </w:pPr>
            <w:r>
              <w:rPr>
                <w:rFonts w:hint="eastAsia" w:ascii="宋体" w:hAnsi="宋体" w:cs="宋体"/>
                <w:color w:val="auto"/>
                <w:sz w:val="20"/>
                <w:szCs w:val="20"/>
              </w:rPr>
              <w:t xml:space="preserve">▲9、平均无故障时间能达到：平均无故障运行MTBFm1大于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w:t>
            </w:r>
            <w:r>
              <w:rPr>
                <w:rFonts w:hint="eastAsia" w:ascii="宋体" w:hAnsi="宋体" w:cs="宋体"/>
                <w:color w:val="auto"/>
                <w:sz w:val="20"/>
                <w:szCs w:val="20"/>
              </w:rPr>
              <w:t xml:space="preserve">万小时。</w:t>
            </w:r>
            <w:r>
              <w:rPr>
                <w:rFonts w:hint="eastAsia" w:ascii="宋体" w:hAnsi="宋体" w:cs="宋体"/>
                <w:color w:val="auto"/>
                <w:sz w:val="20"/>
                <w:szCs w:val="20"/>
                <w:lang w:bidi="ar"/>
              </w:rPr>
              <w:t xml:space="preserve">（签订合同时提供具有CMA标识的所投产品检测报告）</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P4户外LED全彩屏2</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物理点间距：≤4mm，屏体显示净面积尺寸不小于：长6.72米*高3.84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 w:val="20"/>
                <w:szCs w:val="20"/>
                <w:lang w:bidi="ar"/>
              </w:rPr>
              <w:t xml:space="preserve">(签订合同时提供相应证明材料，如：白皮书、彩页、手册、网站截图、具有CMA标识的检测报告)</w:t>
            </w:r>
            <w:r/>
          </w:p>
          <w:p>
            <w:pPr>
              <w:jc w:val="left"/>
              <w:rPr>
                <w:rFonts w:hint="eastAsia" w:ascii="宋体" w:hAnsi="宋体" w:cs="宋体"/>
                <w:color w:val="auto"/>
                <w:sz w:val="20"/>
                <w:szCs w:val="20"/>
              </w:rPr>
            </w:pPr>
            <w:r>
              <w:rPr>
                <w:rFonts w:hint="eastAsia" w:ascii="宋体" w:hAnsi="宋体" w:cs="宋体"/>
                <w:color w:val="auto"/>
                <w:sz w:val="20"/>
                <w:szCs w:val="20"/>
              </w:rPr>
              <w:t xml:space="preserve">2、色温：8</w:t>
            </w:r>
            <w:r>
              <w:rPr>
                <w:rFonts w:ascii="宋体" w:hAnsi="宋体" w:cs="宋体"/>
                <w:color w:val="auto"/>
                <w:sz w:val="20"/>
                <w:szCs w:val="20"/>
              </w:rPr>
              <w:t xml:space="preserve">00</w:t>
            </w:r>
            <w:r>
              <w:rPr>
                <w:rFonts w:hint="eastAsia" w:ascii="宋体" w:hAnsi="宋体" w:cs="宋体"/>
                <w:color w:val="auto"/>
                <w:sz w:val="20"/>
                <w:szCs w:val="20"/>
              </w:rPr>
              <w:t xml:space="preserve">K—1</w:t>
            </w:r>
            <w:r>
              <w:rPr>
                <w:rFonts w:ascii="宋体" w:hAnsi="宋体" w:cs="宋体"/>
                <w:color w:val="auto"/>
                <w:sz w:val="20"/>
                <w:szCs w:val="20"/>
              </w:rPr>
              <w:t xml:space="preserve">1</w:t>
            </w:r>
            <w:r>
              <w:rPr>
                <w:rFonts w:hint="eastAsia" w:ascii="宋体" w:hAnsi="宋体" w:cs="宋体"/>
                <w:color w:val="auto"/>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color w:val="auto"/>
                <w:sz w:val="20"/>
                <w:szCs w:val="20"/>
              </w:rPr>
            </w:pPr>
            <w:r>
              <w:rPr>
                <w:rFonts w:hint="eastAsia" w:ascii="宋体" w:hAnsi="宋体" w:cs="宋体"/>
                <w:color w:val="auto"/>
                <w:sz w:val="20"/>
                <w:szCs w:val="20"/>
              </w:rPr>
              <w:t xml:space="preserve">3.平整度和拼缝间隙≤0.1mm； 峰值功耗≤</w:t>
            </w:r>
            <w:r>
              <w:rPr>
                <w:rFonts w:ascii="宋体" w:hAnsi="宋体" w:cs="宋体"/>
                <w:color w:val="auto"/>
                <w:sz w:val="20"/>
                <w:szCs w:val="20"/>
              </w:rPr>
              <w:t xml:space="preserve">710</w:t>
            </w:r>
            <w:r>
              <w:rPr>
                <w:rFonts w:hint="eastAsia" w:ascii="宋体" w:hAnsi="宋体" w:cs="宋体"/>
                <w:color w:val="auto"/>
                <w:sz w:val="20"/>
                <w:szCs w:val="20"/>
              </w:rPr>
              <w:t xml:space="preserve">W/m²；平均功耗≤350W/m²；</w:t>
            </w:r>
            <w:r/>
          </w:p>
          <w:p>
            <w:pPr>
              <w:jc w:val="left"/>
              <w:rPr>
                <w:rFonts w:hint="eastAsia" w:ascii="宋体" w:hAnsi="宋体" w:cs="宋体"/>
                <w:color w:val="auto"/>
                <w:sz w:val="20"/>
                <w:szCs w:val="20"/>
              </w:rPr>
            </w:pPr>
            <w:r>
              <w:rPr>
                <w:rFonts w:hint="eastAsia" w:ascii="宋体" w:hAnsi="宋体" w:cs="宋体"/>
                <w:color w:val="auto"/>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color w:val="auto"/>
                <w:sz w:val="20"/>
                <w:szCs w:val="20"/>
              </w:rPr>
            </w:pPr>
            <w:r>
              <w:rPr>
                <w:rFonts w:hint="eastAsia" w:ascii="宋体" w:hAnsi="宋体" w:cs="宋体"/>
                <w:color w:val="auto"/>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color w:val="auto"/>
                <w:sz w:val="20"/>
                <w:szCs w:val="20"/>
              </w:rPr>
            </w:pPr>
            <w:r>
              <w:rPr>
                <w:rFonts w:hint="eastAsia" w:ascii="宋体" w:hAnsi="宋体" w:cs="宋体"/>
                <w:color w:val="auto"/>
                <w:sz w:val="20"/>
                <w:szCs w:val="20"/>
              </w:rPr>
              <w:t xml:space="preserve">6、配套室外全防水箱体，冷轧钢板，钢板厚度≥1.2mm；</w:t>
            </w:r>
            <w:r/>
          </w:p>
          <w:p>
            <w:pPr>
              <w:jc w:val="left"/>
              <w:rPr>
                <w:rFonts w:hint="eastAsia" w:ascii="宋体" w:hAnsi="宋体" w:cs="宋体"/>
                <w:color w:val="auto"/>
                <w:sz w:val="20"/>
                <w:szCs w:val="20"/>
              </w:rPr>
            </w:pPr>
            <w:r>
              <w:rPr>
                <w:rFonts w:hint="eastAsia" w:ascii="宋体" w:hAnsi="宋体" w:cs="宋体"/>
                <w:color w:val="auto"/>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color w:val="auto"/>
                <w:sz w:val="20"/>
                <w:szCs w:val="20"/>
              </w:rPr>
            </w:pPr>
            <w:r>
              <w:rPr>
                <w:rFonts w:hint="eastAsia" w:ascii="宋体" w:hAnsi="宋体" w:cs="宋体"/>
                <w:color w:val="auto"/>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eastAsia="宋体" w:cs="宋体"/>
                <w:color w:val="auto"/>
                <w:sz w:val="20"/>
                <w:szCs w:val="20"/>
                <w:lang w:eastAsia="zh-CN"/>
              </w:rPr>
            </w:pPr>
            <w:r>
              <w:rPr>
                <w:rFonts w:hint="eastAsia" w:ascii="宋体" w:hAnsi="宋体" w:cs="宋体"/>
                <w:color w:val="auto"/>
                <w:sz w:val="20"/>
                <w:szCs w:val="20"/>
              </w:rPr>
              <w:t xml:space="preserve">9、可通过控制 PC 实现联网控制，远程开机唤醒、关闭等功能，并且可同时控制多个屏</w:t>
            </w:r>
            <w:r>
              <w:rPr>
                <w:rFonts w:hint="eastAsia" w:ascii="宋体" w:hAnsi="宋体" w:cs="宋体"/>
                <w:color w:val="auto"/>
                <w:sz w:val="20"/>
                <w:szCs w:val="20"/>
                <w:lang w:eastAsia="zh-CN"/>
              </w:rPr>
              <w:t xml:space="preserve">；</w:t>
            </w:r>
            <w:r/>
          </w:p>
          <w:p>
            <w:pPr>
              <w:pStyle w:val="702"/>
              <w:ind w:left="0" w:firstLine="0"/>
              <w:rPr>
                <w:rFonts w:hint="eastAsia"/>
                <w:color w:val="auto"/>
              </w:rPr>
            </w:pPr>
            <w:r>
              <w:rPr>
                <w:rFonts w:hint="eastAsia" w:ascii="宋体" w:hAnsi="宋体" w:eastAsia="宋体" w:cs="宋体"/>
                <w:color w:val="auto"/>
                <w:sz w:val="20"/>
                <w:szCs w:val="20"/>
                <w:lang w:val="en-US" w:eastAsia="zh-CN" w:bidi="ar"/>
              </w:rPr>
              <w:t xml:space="preserve">10、</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P4户外LED全彩屏3</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物理点间距：≤4mm，屏体显示净面积尺寸不小于：长10.24米*高*5.76m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 w:val="20"/>
                <w:szCs w:val="20"/>
                <w:lang w:bidi="ar"/>
              </w:rPr>
              <w:t xml:space="preserve">(签订合同时提供相应证明材料，如：白皮书、彩页、手册、网站截图、具有CMA标识的检测报告)</w:t>
            </w:r>
            <w:r/>
          </w:p>
          <w:p>
            <w:pPr>
              <w:jc w:val="left"/>
              <w:rPr>
                <w:rFonts w:hint="eastAsia" w:ascii="宋体" w:hAnsi="宋体" w:cs="宋体"/>
                <w:color w:val="auto"/>
                <w:sz w:val="20"/>
                <w:szCs w:val="20"/>
              </w:rPr>
            </w:pPr>
            <w:r>
              <w:rPr>
                <w:rFonts w:hint="eastAsia" w:ascii="宋体" w:hAnsi="宋体" w:cs="宋体"/>
                <w:color w:val="auto"/>
                <w:sz w:val="20"/>
                <w:szCs w:val="20"/>
              </w:rPr>
              <w:t xml:space="preserve">2、色温：8</w:t>
            </w:r>
            <w:r>
              <w:rPr>
                <w:rFonts w:ascii="宋体" w:hAnsi="宋体" w:cs="宋体"/>
                <w:color w:val="auto"/>
                <w:sz w:val="20"/>
                <w:szCs w:val="20"/>
              </w:rPr>
              <w:t xml:space="preserve">00</w:t>
            </w:r>
            <w:r>
              <w:rPr>
                <w:rFonts w:hint="eastAsia" w:ascii="宋体" w:hAnsi="宋体" w:cs="宋体"/>
                <w:color w:val="auto"/>
                <w:sz w:val="20"/>
                <w:szCs w:val="20"/>
              </w:rPr>
              <w:t xml:space="preserve">K—1</w:t>
            </w:r>
            <w:r>
              <w:rPr>
                <w:rFonts w:ascii="宋体" w:hAnsi="宋体" w:cs="宋体"/>
                <w:color w:val="auto"/>
                <w:sz w:val="20"/>
                <w:szCs w:val="20"/>
              </w:rPr>
              <w:t xml:space="preserve">1</w:t>
            </w:r>
            <w:r>
              <w:rPr>
                <w:rFonts w:hint="eastAsia" w:ascii="宋体" w:hAnsi="宋体" w:cs="宋体"/>
                <w:color w:val="auto"/>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color w:val="auto"/>
                <w:sz w:val="20"/>
                <w:szCs w:val="20"/>
              </w:rPr>
            </w:pPr>
            <w:r>
              <w:rPr>
                <w:rFonts w:hint="eastAsia" w:ascii="宋体" w:hAnsi="宋体" w:cs="宋体"/>
                <w:color w:val="auto"/>
                <w:sz w:val="20"/>
                <w:szCs w:val="20"/>
              </w:rPr>
              <w:t xml:space="preserve">3.平整度和拼缝间隙≤0.1mm； 峰值功耗≤</w:t>
            </w:r>
            <w:r>
              <w:rPr>
                <w:rFonts w:ascii="宋体" w:hAnsi="宋体" w:cs="宋体"/>
                <w:color w:val="auto"/>
                <w:sz w:val="20"/>
                <w:szCs w:val="20"/>
              </w:rPr>
              <w:t xml:space="preserve">710</w:t>
            </w:r>
            <w:r>
              <w:rPr>
                <w:rFonts w:hint="eastAsia" w:ascii="宋体" w:hAnsi="宋体" w:cs="宋体"/>
                <w:color w:val="auto"/>
                <w:sz w:val="20"/>
                <w:szCs w:val="20"/>
              </w:rPr>
              <w:t xml:space="preserve">W/m²；平均功耗≤350W/m²；</w:t>
            </w:r>
            <w:r/>
          </w:p>
          <w:p>
            <w:pPr>
              <w:jc w:val="left"/>
              <w:rPr>
                <w:rFonts w:hint="eastAsia" w:ascii="宋体" w:hAnsi="宋体" w:cs="宋体"/>
                <w:color w:val="auto"/>
                <w:sz w:val="20"/>
                <w:szCs w:val="20"/>
              </w:rPr>
            </w:pPr>
            <w:r>
              <w:rPr>
                <w:rFonts w:hint="eastAsia" w:ascii="宋体" w:hAnsi="宋体" w:cs="宋体"/>
                <w:color w:val="auto"/>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color w:val="auto"/>
                <w:sz w:val="20"/>
                <w:szCs w:val="20"/>
              </w:rPr>
            </w:pPr>
            <w:r>
              <w:rPr>
                <w:rFonts w:hint="eastAsia" w:ascii="宋体" w:hAnsi="宋体" w:cs="宋体"/>
                <w:color w:val="auto"/>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color w:val="auto"/>
                <w:sz w:val="20"/>
                <w:szCs w:val="20"/>
              </w:rPr>
            </w:pPr>
            <w:r>
              <w:rPr>
                <w:rFonts w:hint="eastAsia" w:ascii="宋体" w:hAnsi="宋体" w:cs="宋体"/>
                <w:color w:val="auto"/>
                <w:sz w:val="20"/>
                <w:szCs w:val="20"/>
              </w:rPr>
              <w:t xml:space="preserve">6、配套室外全防水箱体，冷轧钢板，钢板厚度≥1.2mm；</w:t>
            </w:r>
            <w:r/>
          </w:p>
          <w:p>
            <w:pPr>
              <w:jc w:val="left"/>
              <w:rPr>
                <w:rFonts w:hint="eastAsia" w:ascii="宋体" w:hAnsi="宋体" w:cs="宋体"/>
                <w:color w:val="auto"/>
                <w:sz w:val="20"/>
                <w:szCs w:val="20"/>
              </w:rPr>
            </w:pPr>
            <w:r>
              <w:rPr>
                <w:rFonts w:hint="eastAsia" w:ascii="宋体" w:hAnsi="宋体" w:cs="宋体"/>
                <w:color w:val="auto"/>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color w:val="auto"/>
                <w:sz w:val="20"/>
                <w:szCs w:val="20"/>
              </w:rPr>
            </w:pPr>
            <w:r>
              <w:rPr>
                <w:rFonts w:hint="eastAsia" w:ascii="宋体" w:hAnsi="宋体" w:cs="宋体"/>
                <w:color w:val="auto"/>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eastAsia="宋体" w:cs="宋体"/>
                <w:color w:val="auto"/>
                <w:sz w:val="20"/>
                <w:szCs w:val="20"/>
                <w:lang w:eastAsia="zh-CN"/>
              </w:rPr>
            </w:pPr>
            <w:r>
              <w:rPr>
                <w:rFonts w:hint="eastAsia" w:ascii="宋体" w:hAnsi="宋体" w:cs="宋体"/>
                <w:color w:val="auto"/>
                <w:sz w:val="20"/>
                <w:szCs w:val="20"/>
              </w:rPr>
              <w:t xml:space="preserve">9、可通过控制 PC 实现联网控制，远程开机唤醒、关闭等功能，并且可同时控制多个屏</w:t>
            </w:r>
            <w:r>
              <w:rPr>
                <w:rFonts w:hint="eastAsia" w:ascii="宋体" w:hAnsi="宋体" w:cs="宋体"/>
                <w:color w:val="auto"/>
                <w:sz w:val="20"/>
                <w:szCs w:val="20"/>
                <w:lang w:eastAsia="zh-CN"/>
              </w:rPr>
              <w:t xml:space="preserve">；</w:t>
            </w:r>
            <w:r/>
          </w:p>
          <w:p>
            <w:pPr>
              <w:pStyle w:val="702"/>
              <w:ind w:left="0" w:firstLine="0"/>
              <w:rPr>
                <w:rFonts w:hint="eastAsia"/>
                <w:color w:val="auto"/>
              </w:rPr>
            </w:pPr>
            <w:r>
              <w:rPr>
                <w:rFonts w:hint="eastAsia" w:ascii="宋体" w:hAnsi="宋体" w:eastAsia="宋体" w:cs="宋体"/>
                <w:color w:val="auto"/>
                <w:sz w:val="20"/>
                <w:szCs w:val="20"/>
                <w:lang w:val="en-US" w:eastAsia="zh-CN" w:bidi="ar"/>
              </w:rPr>
              <w:t xml:space="preserve">10、</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49</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P4户外LED全彩屏4</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物理点间距：≤4mm，屏体显示净面积尺寸不小于：长8米*高*4.48米；封装方式：不低于SMD1921（1R1G1B），封装工艺：铜支架纯金线封装（金含量纯度在99.9%以上）；白平衡亮度：≥5500cd/㎡；刷新频率：≥3840Hz，摄像和拍照时没有“水波纹”现像，恒流驱动1/10扫描；</w:t>
            </w:r>
            <w:r>
              <w:rPr>
                <w:rFonts w:hint="eastAsia" w:ascii="宋体" w:hAnsi="宋体" w:cs="宋体"/>
                <w:color w:val="auto"/>
                <w:sz w:val="20"/>
                <w:szCs w:val="20"/>
                <w:lang w:bidi="ar"/>
              </w:rPr>
              <w:t xml:space="preserve">(签订合同时提供相应证明材料，如：白皮书、彩页、手册、网站截图、具有CMA标识的检测报告)</w:t>
            </w:r>
            <w:r/>
          </w:p>
          <w:p>
            <w:pPr>
              <w:jc w:val="left"/>
              <w:rPr>
                <w:rFonts w:hint="eastAsia" w:ascii="宋体" w:hAnsi="宋体" w:cs="宋体"/>
                <w:color w:val="auto"/>
                <w:sz w:val="20"/>
                <w:szCs w:val="20"/>
              </w:rPr>
            </w:pPr>
            <w:r>
              <w:rPr>
                <w:rFonts w:hint="eastAsia" w:ascii="宋体" w:hAnsi="宋体" w:cs="宋体"/>
                <w:color w:val="auto"/>
                <w:sz w:val="20"/>
                <w:szCs w:val="20"/>
              </w:rPr>
              <w:t xml:space="preserve">2、色温：8</w:t>
            </w:r>
            <w:r>
              <w:rPr>
                <w:rFonts w:ascii="宋体" w:hAnsi="宋体" w:cs="宋体"/>
                <w:color w:val="auto"/>
                <w:sz w:val="20"/>
                <w:szCs w:val="20"/>
              </w:rPr>
              <w:t xml:space="preserve">00</w:t>
            </w:r>
            <w:r>
              <w:rPr>
                <w:rFonts w:hint="eastAsia" w:ascii="宋体" w:hAnsi="宋体" w:cs="宋体"/>
                <w:color w:val="auto"/>
                <w:sz w:val="20"/>
                <w:szCs w:val="20"/>
              </w:rPr>
              <w:t xml:space="preserve">K—1</w:t>
            </w:r>
            <w:r>
              <w:rPr>
                <w:rFonts w:ascii="宋体" w:hAnsi="宋体" w:cs="宋体"/>
                <w:color w:val="auto"/>
                <w:sz w:val="20"/>
                <w:szCs w:val="20"/>
              </w:rPr>
              <w:t xml:space="preserve">1</w:t>
            </w:r>
            <w:r>
              <w:rPr>
                <w:rFonts w:hint="eastAsia" w:ascii="宋体" w:hAnsi="宋体" w:cs="宋体"/>
                <w:color w:val="auto"/>
                <w:sz w:val="20"/>
                <w:szCs w:val="20"/>
              </w:rPr>
              <w:t xml:space="preserve">000K连续可调，均匀度≥97%，对比度≥4000:1，色度均匀性：（X,Y)±0.003，换帧频率 ≥60帧/秒，工作温度-20℃～+50℃；像素失控点为0.007%，防护等级：≥IP65；</w:t>
            </w:r>
            <w:r/>
          </w:p>
          <w:p>
            <w:pPr>
              <w:jc w:val="left"/>
              <w:rPr>
                <w:rFonts w:hint="eastAsia" w:ascii="宋体" w:hAnsi="宋体" w:cs="宋体"/>
                <w:color w:val="auto"/>
                <w:sz w:val="20"/>
                <w:szCs w:val="20"/>
              </w:rPr>
            </w:pPr>
            <w:r>
              <w:rPr>
                <w:rFonts w:hint="eastAsia" w:ascii="宋体" w:hAnsi="宋体" w:cs="宋体"/>
                <w:color w:val="auto"/>
                <w:sz w:val="20"/>
                <w:szCs w:val="20"/>
              </w:rPr>
              <w:t xml:space="preserve">3.平整度和拼缝间隙≤0.1mm； 峰值功耗≤</w:t>
            </w:r>
            <w:r>
              <w:rPr>
                <w:rFonts w:ascii="宋体" w:hAnsi="宋体" w:cs="宋体"/>
                <w:color w:val="auto"/>
                <w:sz w:val="20"/>
                <w:szCs w:val="20"/>
              </w:rPr>
              <w:t xml:space="preserve">710</w:t>
            </w:r>
            <w:r>
              <w:rPr>
                <w:rFonts w:hint="eastAsia" w:ascii="宋体" w:hAnsi="宋体" w:cs="宋体"/>
                <w:color w:val="auto"/>
                <w:sz w:val="20"/>
                <w:szCs w:val="20"/>
              </w:rPr>
              <w:t xml:space="preserve">W/m²；平均功耗≤350W/m²；</w:t>
            </w:r>
            <w:r/>
          </w:p>
          <w:p>
            <w:pPr>
              <w:jc w:val="left"/>
              <w:rPr>
                <w:rFonts w:hint="eastAsia" w:ascii="宋体" w:hAnsi="宋体" w:cs="宋体"/>
                <w:color w:val="auto"/>
                <w:sz w:val="20"/>
                <w:szCs w:val="20"/>
              </w:rPr>
            </w:pPr>
            <w:r>
              <w:rPr>
                <w:rFonts w:hint="eastAsia" w:ascii="宋体" w:hAnsi="宋体" w:cs="宋体"/>
                <w:color w:val="auto"/>
                <w:sz w:val="20"/>
                <w:szCs w:val="20"/>
              </w:rPr>
              <w:t xml:space="preserve">4、交直流电源线使用不低于国标GB/T5023-2008线材；模组之间的连接线如采用扁平带线，则该线中每根信号线使用不低于7×0.10mm镀锡铜线；</w:t>
            </w:r>
            <w:r/>
          </w:p>
          <w:p>
            <w:pPr>
              <w:jc w:val="left"/>
              <w:rPr>
                <w:rFonts w:hint="eastAsia" w:ascii="宋体" w:hAnsi="宋体" w:cs="宋体"/>
                <w:color w:val="auto"/>
                <w:sz w:val="20"/>
                <w:szCs w:val="20"/>
              </w:rPr>
            </w:pPr>
            <w:r>
              <w:rPr>
                <w:rFonts w:hint="eastAsia" w:ascii="宋体" w:hAnsi="宋体" w:cs="宋体"/>
                <w:color w:val="auto"/>
                <w:sz w:val="20"/>
                <w:szCs w:val="20"/>
              </w:rPr>
              <w:t xml:space="preserve">5、显示屏控制系统，支持10bit高清视频源的播放、16bit亮度色度矫正；开屏渐亮保护，可实现配置文件回读、程序复制、温度监控、网线通讯状态检测、供电电压检测、高灰度高刷新率，可实现通用或自带电流增益恒流驱动芯片控制。接收卡之间网络跳线采用六类成品线；</w:t>
            </w:r>
            <w:r/>
          </w:p>
          <w:p>
            <w:pPr>
              <w:jc w:val="left"/>
              <w:rPr>
                <w:rFonts w:hint="eastAsia" w:ascii="宋体" w:hAnsi="宋体" w:cs="宋体"/>
                <w:color w:val="auto"/>
                <w:sz w:val="20"/>
                <w:szCs w:val="20"/>
              </w:rPr>
            </w:pPr>
            <w:r>
              <w:rPr>
                <w:rFonts w:hint="eastAsia" w:ascii="宋体" w:hAnsi="宋体" w:cs="宋体"/>
                <w:color w:val="auto"/>
                <w:sz w:val="20"/>
                <w:szCs w:val="20"/>
              </w:rPr>
              <w:t xml:space="preserve">6、配套室外全防水箱体，冷轧钢板，钢板厚度≥1.2mm；</w:t>
            </w:r>
            <w:r/>
          </w:p>
          <w:p>
            <w:pPr>
              <w:jc w:val="left"/>
              <w:rPr>
                <w:rFonts w:hint="eastAsia" w:ascii="宋体" w:hAnsi="宋体" w:cs="宋体"/>
                <w:color w:val="auto"/>
                <w:sz w:val="20"/>
                <w:szCs w:val="20"/>
              </w:rPr>
            </w:pPr>
            <w:r>
              <w:rPr>
                <w:rFonts w:hint="eastAsia" w:ascii="宋体" w:hAnsi="宋体" w:cs="宋体"/>
                <w:color w:val="auto"/>
                <w:sz w:val="20"/>
                <w:szCs w:val="20"/>
              </w:rPr>
              <w:t xml:space="preserve">7、满足光生物安全性检测，不低于以下要求：30000s曝辐中不造成光化学紫外危害(ES)，在1000s内不造成近紫外危害(EUVA)，在 10s内不造成对视网膜热危害(LR)，且在1000s内不造成对眼睛的红外辐射危害(EIR)；</w:t>
            </w:r>
            <w:r/>
          </w:p>
          <w:p>
            <w:pPr>
              <w:jc w:val="left"/>
              <w:rPr>
                <w:rFonts w:hint="eastAsia" w:ascii="宋体" w:hAnsi="宋体" w:cs="宋体"/>
                <w:color w:val="auto"/>
                <w:sz w:val="20"/>
                <w:szCs w:val="20"/>
              </w:rPr>
            </w:pPr>
            <w:r>
              <w:rPr>
                <w:rFonts w:hint="eastAsia" w:ascii="宋体" w:hAnsi="宋体" w:cs="宋体"/>
                <w:color w:val="auto"/>
                <w:sz w:val="20"/>
                <w:szCs w:val="20"/>
              </w:rPr>
              <w:t xml:space="preserve">8、可直接通过扫描LED全彩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p>
          <w:p>
            <w:pPr>
              <w:jc w:val="left"/>
              <w:rPr>
                <w:rFonts w:hint="eastAsia" w:ascii="宋体" w:hAnsi="宋体" w:eastAsia="宋体" w:cs="宋体"/>
                <w:color w:val="auto"/>
                <w:sz w:val="20"/>
                <w:szCs w:val="20"/>
                <w:lang w:eastAsia="zh-CN"/>
              </w:rPr>
            </w:pPr>
            <w:r>
              <w:rPr>
                <w:rFonts w:hint="eastAsia" w:ascii="宋体" w:hAnsi="宋体" w:cs="宋体"/>
                <w:color w:val="auto"/>
                <w:sz w:val="20"/>
                <w:szCs w:val="20"/>
              </w:rPr>
              <w:t xml:space="preserve">9、可通过控制 PC 实现联网控制，远程开机唤醒、关闭等功能，并且可同时控制多个屏</w:t>
            </w:r>
            <w:r>
              <w:rPr>
                <w:rFonts w:hint="eastAsia" w:ascii="宋体" w:hAnsi="宋体" w:cs="宋体"/>
                <w:color w:val="auto"/>
                <w:sz w:val="20"/>
                <w:szCs w:val="20"/>
                <w:lang w:eastAsia="zh-CN"/>
              </w:rPr>
              <w:t xml:space="preserve">；</w:t>
            </w:r>
            <w:r/>
          </w:p>
          <w:p>
            <w:pPr>
              <w:pStyle w:val="702"/>
              <w:ind w:left="0" w:firstLine="0"/>
              <w:rPr>
                <w:rFonts w:hint="eastAsia"/>
                <w:color w:val="auto"/>
              </w:rPr>
            </w:pPr>
            <w:r>
              <w:rPr>
                <w:rFonts w:hint="eastAsia" w:ascii="宋体" w:hAnsi="宋体" w:eastAsia="宋体" w:cs="宋体"/>
                <w:color w:val="auto"/>
                <w:sz w:val="20"/>
                <w:szCs w:val="20"/>
                <w:lang w:val="en-US" w:eastAsia="zh-CN" w:bidi="ar"/>
              </w:rPr>
              <w:t xml:space="preserve">10、</w:t>
            </w:r>
            <w:r>
              <w:rPr>
                <w:rFonts w:hint="eastAsia" w:ascii="宋体" w:hAnsi="宋体" w:cs="宋体"/>
                <w:color w:val="auto"/>
                <w:sz w:val="20"/>
                <w:szCs w:val="20"/>
              </w:rPr>
              <w:t xml:space="preserve">平均无故障时间能达到：平均无故障运行MTBFm1大于</w:t>
            </w:r>
            <w:r>
              <w:rPr>
                <w:rFonts w:hint="eastAsia" w:ascii="宋体" w:hAnsi="宋体" w:cs="宋体"/>
                <w:color w:val="auto"/>
                <w:sz w:val="20"/>
                <w:szCs w:val="20"/>
                <w:lang w:val="en-US" w:eastAsia="zh-CN"/>
              </w:rPr>
              <w:t xml:space="preserve">1</w:t>
            </w:r>
            <w:r>
              <w:rPr>
                <w:rFonts w:hint="eastAsia" w:ascii="宋体" w:hAnsi="宋体" w:cs="宋体"/>
                <w:color w:val="auto"/>
                <w:sz w:val="20"/>
                <w:szCs w:val="20"/>
              </w:rPr>
              <w:t xml:space="preserve">0万小时。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视频处理器6</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1、支持多路输入接口，至少包括 1 路 DVI，1 路 HDMI1.3，1 路 VGA；</w:t>
            </w:r>
            <w:r/>
          </w:p>
          <w:p>
            <w:pPr>
              <w:jc w:val="left"/>
              <w:rPr>
                <w:rFonts w:hint="eastAsia" w:ascii="宋体" w:hAnsi="宋体" w:cs="宋体"/>
                <w:color w:val="auto"/>
                <w:sz w:val="20"/>
                <w:szCs w:val="20"/>
              </w:rPr>
            </w:pPr>
            <w:r>
              <w:rPr>
                <w:rFonts w:hint="eastAsia" w:ascii="宋体" w:hAnsi="宋体" w:cs="宋体"/>
                <w:color w:val="auto"/>
                <w:sz w:val="20"/>
                <w:szCs w:val="20"/>
              </w:rPr>
              <w:t xml:space="preserve">2、支持插入U盘播放视频及图片；</w:t>
            </w:r>
            <w:r/>
          </w:p>
          <w:p>
            <w:pPr>
              <w:jc w:val="left"/>
              <w:rPr>
                <w:rFonts w:hint="eastAsia" w:ascii="宋体" w:hAnsi="宋体" w:cs="宋体"/>
                <w:color w:val="auto"/>
                <w:sz w:val="20"/>
                <w:szCs w:val="20"/>
              </w:rPr>
            </w:pPr>
            <w:r>
              <w:rPr>
                <w:rFonts w:hint="eastAsia" w:ascii="宋体" w:hAnsi="宋体" w:cs="宋体"/>
                <w:color w:val="auto"/>
                <w:sz w:val="20"/>
                <w:szCs w:val="20"/>
              </w:rPr>
              <w:t xml:space="preserve">3、设备前面板配备LCD 显示屏，可观察网口的通讯状态，屏幕大小及信号源状态等信息；</w:t>
            </w:r>
            <w:r/>
          </w:p>
          <w:p>
            <w:pPr>
              <w:jc w:val="left"/>
              <w:rPr>
                <w:rFonts w:hint="eastAsia" w:ascii="宋体" w:hAnsi="宋体" w:cs="宋体"/>
                <w:color w:val="auto"/>
                <w:sz w:val="20"/>
                <w:szCs w:val="20"/>
              </w:rPr>
            </w:pPr>
            <w:r>
              <w:rPr>
                <w:rFonts w:hint="eastAsia" w:ascii="宋体" w:hAnsi="宋体" w:cs="宋体"/>
                <w:color w:val="auto"/>
                <w:sz w:val="20"/>
                <w:szCs w:val="20"/>
              </w:rPr>
              <w:t xml:space="preserve">4、支持 DVI、HDMI 的输入分辨率自定义调节；</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5、支持逐点亮度校正，可以对所有灯点的亮度和色度进行采集校正；</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6、支持快捷点屏，通过旋钮简单操作即可完成屏体配置；</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7、支持创建不少于6个用户场景作为模板保存，可直接调用；</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8、支持通过 RS232 协议连接中控设备。</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视频处理器7</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1、支持多路输入接口，至少包括 1 路DVI，2 路 HDMI1.4；</w:t>
            </w:r>
            <w:r/>
          </w:p>
          <w:p>
            <w:pPr>
              <w:jc w:val="left"/>
              <w:rPr>
                <w:rFonts w:hint="eastAsia" w:ascii="宋体" w:hAnsi="宋体" w:cs="宋体"/>
                <w:color w:val="auto"/>
                <w:sz w:val="20"/>
                <w:szCs w:val="20"/>
              </w:rPr>
            </w:pPr>
            <w:r>
              <w:rPr>
                <w:rFonts w:hint="eastAsia" w:ascii="宋体" w:hAnsi="宋体" w:cs="宋体"/>
                <w:color w:val="auto"/>
                <w:sz w:val="20"/>
                <w:szCs w:val="20"/>
              </w:rPr>
              <w:t xml:space="preserve">2、支持 不少于3 个窗口和 1 路 OSD同时显示；</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 HDMI、DVI 输入分辨率自定义调节，支持选择HDMI源或DVI源作为同步信号，达到输出的场级同步；</w:t>
            </w:r>
            <w:r/>
          </w:p>
          <w:p>
            <w:pPr>
              <w:jc w:val="left"/>
              <w:rPr>
                <w:rFonts w:hint="eastAsia" w:ascii="宋体" w:hAnsi="宋体" w:cs="宋体"/>
                <w:color w:val="auto"/>
                <w:sz w:val="20"/>
                <w:szCs w:val="20"/>
              </w:rPr>
            </w:pPr>
            <w:r>
              <w:rPr>
                <w:rFonts w:hint="eastAsia" w:ascii="宋体" w:hAnsi="宋体" w:cs="宋体"/>
                <w:color w:val="auto"/>
                <w:sz w:val="20"/>
                <w:szCs w:val="20"/>
              </w:rPr>
              <w:t xml:space="preserve">4、视频输出最大带载不低于 650 万像素，不低于10240*8192；</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5、支持逐点亮度校正，可以对所有灯点的亮度和色度进行采集校正；</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6、支持创建不少于10 个用户场景作为模板保存。</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控制软件</w:t>
            </w:r>
            <w:r/>
          </w:p>
        </w:tc>
        <w:tc>
          <w:tcPr>
            <w:tcW w:w="7696" w:type="dxa"/>
            <w:vAlign w:val="center"/>
            <w:textDirection w:val="lrTb"/>
            <w:noWrap w:val="false"/>
          </w:tcPr>
          <w:p>
            <w:pPr>
              <w:jc w:val="left"/>
              <w:rPr>
                <w:rFonts w:hint="eastAsia" w:ascii="宋体" w:hAnsi="宋体" w:cs="宋体"/>
                <w:color w:val="auto"/>
                <w:sz w:val="20"/>
                <w:szCs w:val="20"/>
                <w:lang w:bidi="ar"/>
              </w:rPr>
            </w:pPr>
            <w:r>
              <w:rPr>
                <w:rFonts w:hint="eastAsia" w:ascii="宋体" w:hAnsi="宋体" w:cs="宋体"/>
                <w:color w:val="auto"/>
                <w:sz w:val="20"/>
                <w:szCs w:val="20"/>
              </w:rPr>
              <w:t xml:space="preserve">▲1、具备C/S和B/S架构,提供多语言版本，可通过客户端软件、移动端和web端对大屏系统进行统一管理,包括大屏门户、场景配置、预案切换、远程操控、信号控制、一键上墙、内容切换、多屏互动、窗口叠加/拼接/漫游/放大/缩小/移动/关闭等操作，支持查看信号源实时画面,实时查看大屏中正在播放的内容等功能,支持维护和升级；</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▲2、具有大屏显控、信息发布、语音控制等功能,支持大屏管理、字幕管理、中控管理、信息发布、音频配置、实时浏览、录像回放等功能；</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3、支持显示配置好的门户作为统一的门户入口,可自定义设置背景图片、门户标题、菜单名称、菜单图片、菜单链接内容,包含二级门户、场景、页面等；</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4、支持单窗口信号切换;支持信号通道模糊搜索，支持展示所有设备信号源通道，支持将输入源保存至收藏夹进行管理；</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5、支持拖动信号源至场景进行播放，可设置该信号窗口的大小、位置、置顶、放大/还原、层级等参数，支持信号预监,可在播放信号源内容之前进行预查看；</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6、支持一键将本地电脑桌面投放到大屏上显示,支持屏幕、网页、窗口类型投屏；</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7、支持大屏预编辑,可在客户端对屏幕的视频布局显示进行调整,同时不影响大屏显示,调整完毕后可一键同步布局配置至大屏；</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8、支持电视墙叠加字幕的管理和显示,字幕可设置高度、宽度、背景颜色、字体类型、字体颜色、字体大小、透明度、字间距、对齐方式、滚动方式、滚动速度;支持在移动端移动或删除虚拟LED；</w:t>
            </w:r>
            <w:r/>
          </w:p>
          <w:p>
            <w:pPr>
              <w:jc w:val="left"/>
              <w:rPr>
                <w:rFonts w:hint="eastAsia" w:ascii="宋体" w:hAnsi="宋体" w:cs="宋体"/>
                <w:color w:val="auto"/>
                <w:sz w:val="20"/>
                <w:szCs w:val="20"/>
              </w:rPr>
            </w:pPr>
            <w:r>
              <w:rPr>
                <w:rFonts w:hint="eastAsia" w:ascii="宋体" w:hAnsi="宋体" w:cs="宋体"/>
                <w:color w:val="auto"/>
                <w:sz w:val="20"/>
                <w:szCs w:val="20"/>
              </w:rPr>
              <w:t xml:space="preserve">9、支持对电脑桌面映像实时预览,并可反向控制桌面实现远程控制；</w:t>
            </w:r>
            <w:r/>
          </w:p>
          <w:p>
            <w:pPr>
              <w:jc w:val="left"/>
              <w:rPr>
                <w:color w:val="auto"/>
              </w:rPr>
            </w:pPr>
            <w:r>
              <w:rPr>
                <w:rFonts w:hint="eastAsia" w:ascii="宋体" w:hAnsi="宋体" w:cs="宋体"/>
                <w:color w:val="auto"/>
                <w:sz w:val="20"/>
                <w:szCs w:val="20"/>
              </w:rPr>
              <w:t xml:space="preserve">10、支持实时查看大屏显示的内容,可远程控制可视化界面、AR全景界面、VR网页端界面等；</w:t>
            </w:r>
            <w:r/>
          </w:p>
          <w:p>
            <w:pPr>
              <w:jc w:val="left"/>
              <w:rPr>
                <w:rFonts w:hint="eastAsia" w:ascii="宋体" w:hAnsi="宋体" w:cs="宋体"/>
                <w:color w:val="auto"/>
                <w:sz w:val="20"/>
                <w:szCs w:val="20"/>
              </w:rPr>
            </w:pPr>
            <w:r>
              <w:rPr>
                <w:rFonts w:hint="eastAsia" w:ascii="宋体" w:hAnsi="宋体" w:cs="宋体"/>
                <w:color w:val="auto"/>
                <w:sz w:val="20"/>
                <w:szCs w:val="20"/>
              </w:rPr>
              <w:t xml:space="preserve">11、支持通过鹰眼视图框选大屏局部进行查看和控制；</w:t>
            </w:r>
            <w:r/>
          </w:p>
          <w:p>
            <w:pPr>
              <w:jc w:val="left"/>
              <w:rPr>
                <w:rFonts w:hint="eastAsia" w:ascii="宋体" w:hAnsi="宋体" w:cs="宋体"/>
                <w:color w:val="auto"/>
                <w:sz w:val="20"/>
                <w:szCs w:val="20"/>
              </w:rPr>
            </w:pPr>
            <w:r>
              <w:rPr>
                <w:rFonts w:hint="eastAsia" w:ascii="宋体" w:hAnsi="宋体" w:cs="宋体"/>
                <w:color w:val="auto"/>
                <w:sz w:val="20"/>
                <w:szCs w:val="20"/>
              </w:rPr>
              <w:t xml:space="preserve">12、支持电视墙视频画面数字变倍,可对电视墙画面进行裁剪显示；</w:t>
            </w:r>
            <w:r/>
          </w:p>
          <w:p>
            <w:pPr>
              <w:jc w:val="left"/>
              <w:rPr>
                <w:rFonts w:hint="eastAsia" w:ascii="宋体" w:hAnsi="宋体" w:cs="宋体"/>
                <w:color w:val="auto"/>
                <w:sz w:val="20"/>
                <w:szCs w:val="20"/>
              </w:rPr>
            </w:pPr>
            <w:r>
              <w:rPr>
                <w:rFonts w:hint="eastAsia" w:ascii="宋体" w:hAnsi="宋体" w:cs="宋体"/>
                <w:color w:val="auto"/>
                <w:sz w:val="20"/>
                <w:szCs w:val="20"/>
              </w:rPr>
              <w:t xml:space="preserve">13、支持在移动端进行内容播放控制,可进行PPT上一页、下一页等操作,可控制正在播放视频的进度,开始、暂停、停止播放，支持在移动端同步WEB端平台内容,可切换大屏中显示的网页、视频、图片等；</w:t>
            </w:r>
            <w:r/>
          </w:p>
          <w:p>
            <w:pPr>
              <w:jc w:val="left"/>
              <w:rPr>
                <w:rFonts w:hint="eastAsia" w:ascii="宋体" w:hAnsi="宋体" w:cs="宋体"/>
                <w:color w:val="auto"/>
                <w:sz w:val="20"/>
                <w:szCs w:val="20"/>
              </w:rPr>
            </w:pPr>
            <w:r>
              <w:rPr>
                <w:rFonts w:hint="eastAsia" w:ascii="宋体" w:hAnsi="宋体" w:cs="宋体"/>
                <w:color w:val="auto"/>
                <w:sz w:val="20"/>
                <w:szCs w:val="20"/>
              </w:rPr>
              <w:t xml:space="preserve">14、可设置对PLC配电箱单台控制或多台级联控制，统一配置配电箱控制时,支持大屏系统一键开关机,并可设置定时开关机；</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15、支持配置大屏的智能控制功能,具有标准、柔和、影院和会议模式设置选项，可设置开启护眼模式、屏保,对具有除湿功能的大屏可设置开启除湿模式；</w:t>
            </w:r>
            <w:r/>
          </w:p>
          <w:p>
            <w:pPr>
              <w:pStyle w:val="844"/>
              <w:rPr>
                <w:rFonts w:hint="eastAsia" w:hAnsi="宋体" w:cs="宋体"/>
                <w:color w:val="auto"/>
                <w:sz w:val="20"/>
                <w:szCs w:val="20"/>
                <w:lang w:bidi="ar"/>
              </w:rPr>
            </w:pPr>
            <w:r>
              <w:rPr>
                <w:rFonts w:hint="eastAsia" w:hAnsi="宋体" w:cs="宋体"/>
                <w:color w:val="auto"/>
                <w:sz w:val="20"/>
                <w:szCs w:val="20"/>
              </w:rPr>
              <w:t xml:space="preserve">▲16、支持将网页、程序包、图片、视频、PPT、Word文档、Excel、PDF、文本等内容窗口拖动到大屏中,每种类型窗口可添加多个文件,可设置内容文件播放时长、内容播放顺序等属性。</w:t>
            </w:r>
            <w:r>
              <w:rPr>
                <w:rFonts w:hint="eastAsia" w:hAnsi="宋体" w:cs="宋体"/>
                <w:color w:val="auto"/>
                <w:sz w:val="20"/>
                <w:szCs w:val="20"/>
                <w:lang w:bidi="ar"/>
              </w:rPr>
              <w:t xml:space="preserve">（签订合同时提供具有CMA标识的第三方检测报告）</w:t>
            </w:r>
            <w:r/>
          </w:p>
          <w:p>
            <w:pPr>
              <w:pStyle w:val="844"/>
              <w:numPr>
                <w:ilvl w:val="0"/>
                <w:numId w:val="6"/>
              </w:numPr>
              <w:rPr>
                <w:rFonts w:hint="eastAsia" w:hAnsi="宋体" w:cs="宋体"/>
                <w:color w:val="auto"/>
              </w:rPr>
            </w:pPr>
            <w:r>
              <w:rPr>
                <w:rFonts w:hint="eastAsia" w:hAnsi="宋体" w:cs="宋体"/>
                <w:color w:val="auto"/>
              </w:rPr>
              <w:t xml:space="preserve">无需其他配置工具，直接在软件设置界面，可通过拖拽组件的方式自定义布局，支持</w:t>
            </w:r>
            <w:r>
              <w:rPr>
                <w:rFonts w:hAnsi="宋体" w:cs="宋体"/>
                <w:color w:val="auto"/>
              </w:rPr>
              <w:t xml:space="preserve">不少于</w:t>
            </w:r>
            <w:r>
              <w:rPr>
                <w:rFonts w:hint="eastAsia" w:hAnsi="宋体" w:cs="宋体"/>
                <w:color w:val="auto"/>
              </w:rPr>
              <w:t xml:space="preserve">18个功能组件可选，同时支持</w:t>
            </w:r>
            <w:r>
              <w:rPr>
                <w:rFonts w:hAnsi="宋体" w:cs="宋体"/>
                <w:color w:val="auto"/>
              </w:rPr>
              <w:t xml:space="preserve">不少于</w:t>
            </w:r>
            <w:r>
              <w:rPr>
                <w:rFonts w:hint="eastAsia" w:hAnsi="宋体" w:cs="宋体"/>
                <w:color w:val="auto"/>
              </w:rPr>
              <w:t xml:space="preserve">6个组件进行叠加组合，支持保存为新的布局名称，支持多个布局切换；</w:t>
            </w:r>
            <w:r/>
          </w:p>
          <w:p>
            <w:pPr>
              <w:pStyle w:val="844"/>
              <w:numPr>
                <w:ilvl w:val="0"/>
                <w:numId w:val="6"/>
              </w:numPr>
              <w:rPr>
                <w:rFonts w:hint="eastAsia" w:hAnsi="宋体" w:cs="宋体"/>
                <w:color w:val="auto"/>
              </w:rPr>
            </w:pPr>
            <w:r>
              <w:rPr>
                <w:rFonts w:hint="eastAsia" w:hAnsi="宋体" w:cs="宋体"/>
                <w:color w:val="auto"/>
              </w:rPr>
              <w:t xml:space="preserve">可根据用户使用习惯来切换左手模式和右手模式，改变信号源列表的位置，也可设置信号列表隐藏及宽度大小</w:t>
            </w:r>
            <w:r>
              <w:rPr>
                <w:rFonts w:hAnsi="宋体" w:cs="宋体"/>
                <w:color w:val="auto"/>
              </w:rPr>
              <w:t xml:space="preserve">；</w:t>
            </w:r>
            <w:r/>
          </w:p>
          <w:p>
            <w:pPr>
              <w:pStyle w:val="844"/>
              <w:numPr>
                <w:ilvl w:val="0"/>
                <w:numId w:val="6"/>
              </w:numPr>
              <w:rPr>
                <w:rFonts w:hint="eastAsia" w:hAnsi="宋体" w:cs="宋体"/>
                <w:color w:val="auto"/>
              </w:rPr>
            </w:pPr>
            <w:r>
              <w:rPr>
                <w:rFonts w:hint="eastAsia" w:hAnsi="宋体" w:cs="宋体"/>
                <w:color w:val="auto"/>
              </w:rPr>
              <w:t xml:space="preserve">信号列表中的信号支持模糊搜索，并可实时预览画面，可设置信号的展示顺序；</w:t>
            </w:r>
            <w:r/>
          </w:p>
          <w:p>
            <w:pPr>
              <w:pStyle w:val="844"/>
              <w:numPr>
                <w:ilvl w:val="0"/>
                <w:numId w:val="6"/>
              </w:numPr>
              <w:rPr>
                <w:rFonts w:hint="eastAsia" w:hAnsi="宋体" w:cs="宋体"/>
                <w:color w:val="auto"/>
              </w:rPr>
            </w:pPr>
            <w:r>
              <w:rPr>
                <w:rFonts w:hint="eastAsia" w:hAnsi="宋体" w:cs="宋体"/>
                <w:color w:val="auto"/>
              </w:rPr>
              <w:t xml:space="preserve">支持在软件界面控制打开可视化数据网页，在演示讲解时，通过平板</w:t>
            </w:r>
            <w:r>
              <w:rPr>
                <w:rFonts w:hAnsi="宋体" w:cs="宋体"/>
                <w:color w:val="auto"/>
              </w:rPr>
              <w:t xml:space="preserve">可</w:t>
            </w:r>
            <w:r>
              <w:rPr>
                <w:rFonts w:hint="eastAsia" w:hAnsi="宋体" w:cs="宋体"/>
                <w:color w:val="auto"/>
              </w:rPr>
              <w:t xml:space="preserve">直接进行回显和反控，包括数据可视化界面中中不同二级菜单的点击切换，地图的放大，旋转，移动以及文字的输入；</w:t>
            </w:r>
            <w:r/>
          </w:p>
          <w:p>
            <w:pPr>
              <w:pStyle w:val="844"/>
              <w:numPr>
                <w:ilvl w:val="0"/>
                <w:numId w:val="6"/>
              </w:numPr>
              <w:rPr>
                <w:rFonts w:hint="eastAsia" w:hAnsi="宋体" w:cs="宋体"/>
                <w:color w:val="auto"/>
              </w:rPr>
            </w:pPr>
            <w:r>
              <w:rPr>
                <w:rFonts w:hint="eastAsia" w:hAnsi="宋体" w:cs="宋体"/>
                <w:color w:val="auto"/>
              </w:rPr>
              <w:t xml:space="preserve">可视化软件在投屏时支持实时模式和预编辑模式，实时模式下，对大屏画面进行切换可以实时的同步；预编辑模式下，支持在可视化软件上先对大屏需要显示的画面进行编排，编辑时，大屏画面显示不受影响，编辑完成后，可一键同步至大屏；</w:t>
            </w:r>
            <w:r/>
          </w:p>
          <w:p>
            <w:pPr>
              <w:pStyle w:val="844"/>
              <w:numPr>
                <w:ilvl w:val="0"/>
                <w:numId w:val="6"/>
              </w:numPr>
              <w:rPr>
                <w:rFonts w:hint="eastAsia" w:hAnsi="宋体" w:cs="宋体"/>
                <w:color w:val="auto"/>
              </w:rPr>
            </w:pPr>
            <w:r>
              <w:rPr>
                <w:rFonts w:hint="eastAsia" w:hAnsi="宋体" w:cs="宋体"/>
                <w:color w:val="auto"/>
              </w:rPr>
              <w:t xml:space="preserve">、支持调整画面的编码方式（CPU编码、GPU编码）、压缩方式（H264、H265）以及编码格式（YUV420、YUV444）；</w:t>
            </w:r>
            <w:r/>
          </w:p>
          <w:p>
            <w:pPr>
              <w:pStyle w:val="844"/>
              <w:numPr>
                <w:ilvl w:val="0"/>
                <w:numId w:val="6"/>
              </w:numPr>
              <w:rPr>
                <w:rFonts w:hint="eastAsia" w:hAnsi="宋体" w:cs="宋体"/>
                <w:color w:val="auto"/>
              </w:rPr>
            </w:pPr>
            <w:r>
              <w:rPr>
                <w:rFonts w:hint="eastAsia" w:hAnsi="宋体" w:cs="宋体"/>
                <w:color w:val="auto"/>
              </w:rPr>
              <w:t xml:space="preserve">支持对不同文件类型进行窗口采集，支持word、图片、视频、excel、txt、pdf、ppt、网页等不同的应用类型，可同时采集</w:t>
            </w:r>
            <w:r>
              <w:rPr>
                <w:rFonts w:hAnsi="宋体" w:cs="宋体"/>
                <w:color w:val="auto"/>
              </w:rPr>
              <w:t xml:space="preserve">≥</w:t>
            </w:r>
            <w:r>
              <w:rPr>
                <w:rFonts w:hint="eastAsia" w:hAnsi="宋体" w:cs="宋体"/>
                <w:color w:val="auto"/>
              </w:rPr>
              <w:t xml:space="preserve">8个任务窗口；</w:t>
            </w:r>
            <w:r/>
          </w:p>
          <w:p>
            <w:pPr>
              <w:pStyle w:val="844"/>
              <w:numPr>
                <w:ilvl w:val="0"/>
                <w:numId w:val="6"/>
              </w:numPr>
              <w:rPr>
                <w:rFonts w:hint="eastAsia" w:hAnsi="宋体" w:cs="宋体"/>
                <w:color w:val="auto"/>
              </w:rPr>
            </w:pPr>
            <w:r>
              <w:rPr>
                <w:rFonts w:hint="eastAsia" w:hAnsi="宋体" w:cs="宋体"/>
                <w:color w:val="auto"/>
              </w:rPr>
              <w:t xml:space="preserve">支持查看每个窗口采集画面的实时信息，包括帧序号、采集耗时、编码耗时、调度耗时、发送耗时、以及总耗时信息；</w:t>
            </w:r>
            <w:r/>
          </w:p>
          <w:p>
            <w:pPr>
              <w:pStyle w:val="844"/>
              <w:numPr>
                <w:ilvl w:val="0"/>
                <w:numId w:val="6"/>
              </w:numPr>
              <w:rPr>
                <w:rFonts w:hint="eastAsia" w:hAnsi="宋体" w:cs="宋体"/>
                <w:color w:val="auto"/>
              </w:rPr>
            </w:pPr>
            <w:r>
              <w:rPr>
                <w:rFonts w:hint="eastAsia" w:hAnsi="宋体" w:cs="宋体"/>
                <w:color w:val="auto"/>
              </w:rPr>
              <w:t xml:space="preserve">支持在软件界面对桌面操作进行录像操作，可以直接打开录像文件进行查看；</w:t>
            </w:r>
            <w:r/>
          </w:p>
          <w:p>
            <w:pPr>
              <w:pStyle w:val="844"/>
              <w:numPr>
                <w:ilvl w:val="0"/>
                <w:numId w:val="6"/>
              </w:numPr>
              <w:rPr>
                <w:rFonts w:hint="eastAsia" w:hAnsi="宋体" w:cs="宋体"/>
                <w:color w:val="auto"/>
              </w:rPr>
            </w:pPr>
            <w:r>
              <w:rPr>
                <w:rFonts w:hint="eastAsia" w:hAnsi="宋体" w:cs="宋体"/>
                <w:color w:val="auto"/>
              </w:rPr>
              <w:t xml:space="preserve">支持局部采集，用户可根据需要自定义区域进行采集投屏显示</w:t>
            </w:r>
            <w:r>
              <w:rPr>
                <w:rFonts w:hAnsi="宋体" w:cs="宋体"/>
                <w:color w:val="auto"/>
              </w:rPr>
              <w:t xml:space="preserve">；</w:t>
            </w:r>
            <w:r/>
          </w:p>
          <w:p>
            <w:pPr>
              <w:pStyle w:val="844"/>
              <w:numPr>
                <w:ilvl w:val="0"/>
                <w:numId w:val="6"/>
              </w:numPr>
              <w:rPr>
                <w:rFonts w:hint="eastAsia" w:hAnsi="宋体" w:cs="宋体"/>
                <w:color w:val="auto"/>
              </w:rPr>
            </w:pPr>
            <w:r>
              <w:rPr>
                <w:rFonts w:hint="eastAsia" w:hAnsi="宋体" w:cs="宋体"/>
                <w:color w:val="auto"/>
              </w:rPr>
              <w:t xml:space="preserve">支持可视化软件远程控制电脑桌面的功能，可视化软件在将画面投屏后，可直接在界面上进入远程控制模式，可以对投屏的电脑进行远程控制；</w:t>
            </w:r>
            <w:r/>
          </w:p>
          <w:p>
            <w:pPr>
              <w:pStyle w:val="844"/>
              <w:numPr>
                <w:ilvl w:val="0"/>
                <w:numId w:val="6"/>
              </w:numPr>
              <w:rPr>
                <w:rFonts w:hint="eastAsia" w:hAnsi="宋体" w:cs="宋体"/>
                <w:color w:val="auto"/>
              </w:rPr>
            </w:pPr>
            <w:r>
              <w:rPr>
                <w:rFonts w:hint="eastAsia" w:hAnsi="宋体" w:cs="宋体"/>
                <w:color w:val="auto"/>
              </w:rPr>
              <w:t xml:space="preserve">支持平板多点触控及鼠标方式可视化控制LED设备，支持单台和批量操作，支持大屏开关、无人熄屏开关、大屏防火开关、亮度调节、OSD字幕、除湿开关，同时支持预案切换、信号源切换功能；</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配电箱4</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1、PLC控制方式，功率≥30KW，含智能配电柜控制器、交流接触器、空开插座、空开、开关电源等；</w:t>
            </w:r>
            <w:r/>
          </w:p>
          <w:p>
            <w:pPr>
              <w:jc w:val="left"/>
              <w:rPr>
                <w:rFonts w:hint="eastAsia" w:ascii="宋体" w:hAnsi="宋体" w:cs="宋体"/>
                <w:color w:val="auto"/>
                <w:sz w:val="20"/>
                <w:szCs w:val="20"/>
              </w:rPr>
            </w:pPr>
            <w:r>
              <w:rPr>
                <w:rFonts w:hint="eastAsia" w:ascii="宋体" w:hAnsi="宋体" w:cs="宋体"/>
                <w:color w:val="auto"/>
                <w:sz w:val="20"/>
                <w:szCs w:val="20"/>
              </w:rPr>
              <w:t xml:space="preserve">2、具有过流，过压，欠压，短路，温度，时间等保护功能；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3、在控制电脑端可实现开关配电箱电源，并可实现远程开关电功能。</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配电箱5</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1、PLC控制方式，功率≥60KW，含智能配电柜控制器、交流接触器、空开插座、空开、开关电源等；</w:t>
            </w:r>
            <w:r/>
          </w:p>
          <w:p>
            <w:pPr>
              <w:jc w:val="left"/>
              <w:rPr>
                <w:rFonts w:hint="eastAsia" w:ascii="宋体" w:hAnsi="宋体" w:cs="宋体"/>
                <w:color w:val="auto"/>
                <w:sz w:val="20"/>
                <w:szCs w:val="20"/>
              </w:rPr>
            </w:pPr>
            <w:r>
              <w:rPr>
                <w:rFonts w:hint="eastAsia" w:ascii="宋体" w:hAnsi="宋体" w:cs="宋体"/>
                <w:color w:val="auto"/>
                <w:sz w:val="20"/>
                <w:szCs w:val="20"/>
              </w:rPr>
              <w:t xml:space="preserve">2、具有过流，过压，欠压，短路，温度，时间等保护功能；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3、在控制电脑端可实现开关配电箱电源，并可实现远程开关电功能。</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配电箱6</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1、PLC控制方式，功率≥40KW，含智能配电柜控制器、交流接触器、空开插座、空开、开关电源等；</w:t>
            </w:r>
            <w:r/>
          </w:p>
          <w:p>
            <w:pPr>
              <w:jc w:val="left"/>
              <w:rPr>
                <w:rFonts w:hint="eastAsia" w:ascii="宋体" w:hAnsi="宋体" w:cs="宋体"/>
                <w:color w:val="auto"/>
                <w:sz w:val="20"/>
                <w:szCs w:val="20"/>
              </w:rPr>
            </w:pPr>
            <w:r>
              <w:rPr>
                <w:rFonts w:hint="eastAsia" w:ascii="宋体" w:hAnsi="宋体" w:cs="宋体"/>
                <w:color w:val="auto"/>
                <w:sz w:val="20"/>
                <w:szCs w:val="20"/>
              </w:rPr>
              <w:t xml:space="preserve">2、具有过流，过压，欠压，短路，温度，时间等保护功能；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3、在控制电脑端可实现开关配电箱电源，并可实现远程开关电功能。</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屏体框架及包边9</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定制钢结构，面积不小于28.81㎡。屏体外框采用不小于40mm×40mm国标镀锌方通，防锈防腐蚀，四周采用黑色拉丝不锈钢装饰包边，包边宽度满足现场及使用单位需求，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屏体框架及包边10</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定制钢结构，面积不小于58.99㎡。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屏体框架及包边11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定制钢结构，面积不小于35.84㎡。屏体外框采用不小于40mm×40mm国标镀锌方通，防锈防腐蚀，四周采用黑色拉丝不锈钢装饰包边，包边宽度满足现场及使用单位需求，保证牢固度，不变形，安装结构满足现场实际使用情况。根据现场实际环境情况配置合适的散热通风设备。</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59</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rPr>
              <w:t xml:space="preserve">强弱电线缆</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1、室外LED屏所用强供电及通信线缆；</w:t>
            </w:r>
            <w:r/>
          </w:p>
          <w:p>
            <w:pPr>
              <w:jc w:val="left"/>
              <w:rPr>
                <w:rFonts w:hint="eastAsia" w:ascii="宋体" w:hAnsi="宋体" w:cs="宋体"/>
                <w:color w:val="auto"/>
                <w:sz w:val="20"/>
                <w:szCs w:val="20"/>
              </w:rPr>
            </w:pPr>
            <w:r>
              <w:rPr>
                <w:rFonts w:hint="eastAsia" w:ascii="宋体" w:hAnsi="宋体" w:cs="宋体"/>
                <w:color w:val="auto"/>
                <w:sz w:val="20"/>
                <w:szCs w:val="20"/>
              </w:rPr>
              <w:t xml:space="preserve">2、供电采用国标三相五线制线缆；</w:t>
            </w:r>
            <w:r/>
          </w:p>
          <w:p>
            <w:pPr>
              <w:jc w:val="left"/>
              <w:rPr>
                <w:rFonts w:hint="eastAsia" w:ascii="宋体" w:hAnsi="宋体" w:cs="宋体"/>
                <w:color w:val="auto"/>
                <w:sz w:val="20"/>
                <w:szCs w:val="20"/>
              </w:rPr>
            </w:pPr>
            <w:r>
              <w:rPr>
                <w:rFonts w:hint="eastAsia" w:ascii="宋体" w:hAnsi="宋体" w:cs="宋体"/>
                <w:color w:val="auto"/>
                <w:sz w:val="20"/>
                <w:szCs w:val="20"/>
              </w:rPr>
              <w:t xml:space="preserve">3、通信采用不低于ANSI/TIA-568-C.2-2009标准六类网线。</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高清分布式编解码一体机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1、具备接口：≥1路HDMI视频输入,≥1路HDMI视频输出接口，≥1路RJ45接口，≥1路凤凰座音频 IN，≥1路凤凰座音频OUT， ≥1路RS232双向收发串口，≥4路I/O控制接口，≥3个USB接口；</w:t>
            </w:r>
            <w:r/>
          </w:p>
          <w:p>
            <w:pPr>
              <w:jc w:val="left"/>
              <w:rPr>
                <w:rFonts w:hint="eastAsia" w:ascii="宋体" w:hAnsi="宋体" w:cs="宋体"/>
                <w:color w:val="auto"/>
                <w:sz w:val="20"/>
                <w:szCs w:val="20"/>
              </w:rPr>
            </w:pPr>
            <w:r>
              <w:rPr>
                <w:rFonts w:hint="eastAsia" w:ascii="宋体" w:hAnsi="宋体" w:cs="宋体"/>
                <w:color w:val="auto"/>
                <w:sz w:val="20"/>
                <w:szCs w:val="20"/>
              </w:rPr>
              <w:t xml:space="preserve">2、更换有故障的分布式节点并应用不会整体重启和黑屏，支持分布式输出节点可选输出画面模式包括：黑屏、no single、输入信号源的最后一帧图像；</w:t>
            </w:r>
            <w:r/>
          </w:p>
          <w:p>
            <w:pPr>
              <w:jc w:val="left"/>
              <w:rPr>
                <w:rFonts w:hint="eastAsia" w:ascii="宋体" w:hAnsi="宋体" w:cs="宋体"/>
                <w:color w:val="auto"/>
                <w:sz w:val="20"/>
                <w:szCs w:val="20"/>
              </w:rPr>
            </w:pPr>
            <w:r>
              <w:rPr>
                <w:rFonts w:hint="eastAsia" w:ascii="宋体" w:hAnsi="宋体" w:cs="宋体"/>
                <w:color w:val="auto"/>
                <w:sz w:val="20"/>
                <w:szCs w:val="20"/>
              </w:rPr>
              <w:t xml:space="preserve">3、系统采用去中心化无服务器架构设计，可扩展任意数量节点，所有节点自动均衡备份数据，兼容全平台使用（包括信创产品国产化系统），系统支持权限管理功能，用户数量无上限，支持多用户、用户组权限的设置，不需要单独配置服务器或者分布式主节点作为权限管理系统服务；</w:t>
            </w:r>
            <w:r/>
          </w:p>
          <w:p>
            <w:pPr>
              <w:jc w:val="left"/>
              <w:rPr>
                <w:rFonts w:hint="eastAsia" w:ascii="宋体" w:hAnsi="宋体" w:cs="宋体"/>
                <w:color w:val="auto"/>
                <w:sz w:val="20"/>
                <w:szCs w:val="20"/>
              </w:rPr>
            </w:pPr>
            <w:r>
              <w:rPr>
                <w:rFonts w:hint="eastAsia" w:ascii="宋体" w:hAnsi="宋体" w:cs="宋体"/>
                <w:color w:val="auto"/>
                <w:sz w:val="20"/>
                <w:szCs w:val="20"/>
              </w:rPr>
              <w:t xml:space="preserve">4、具有中控编程接口：任意分布式输入输出节点均具备可独立编程中控功能，单个分布式节点配合会议话筒主机与摄像机实现摄像联动跟踪功能，支持单个分布式节点io触发坐席预案调用功能，不需要第三方环境接口机和中控主机；</w:t>
            </w:r>
            <w:r/>
          </w:p>
          <w:p>
            <w:pPr>
              <w:jc w:val="left"/>
              <w:rPr>
                <w:rFonts w:hint="eastAsia" w:ascii="宋体" w:hAnsi="宋体" w:cs="宋体"/>
                <w:color w:val="auto"/>
                <w:sz w:val="20"/>
                <w:szCs w:val="20"/>
              </w:rPr>
            </w:pPr>
            <w:r>
              <w:rPr>
                <w:rFonts w:hint="eastAsia" w:ascii="宋体" w:hAnsi="宋体" w:cs="宋体"/>
                <w:color w:val="auto"/>
                <w:sz w:val="20"/>
                <w:szCs w:val="20"/>
              </w:rPr>
              <w:t xml:space="preserve">5、分布式节点采用一体化设计不分输入输出类型，可自定义为输入节点，也可以自定义为输出节点；任何一个分布式节点可以作为普通输入、普通输出、坐席输入、坐席输出、拼接输出、ipc解码输入等类型使用，无需更换内部芯片或者底层包；</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6、支持分布式系统具有画面轮询功能，轮询画面可双击放大到固定区域显示，方便监控画面在轮询过程中随时查看可疑图像；</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7、支持系统批注功能，可在视频播放过程中或者ppt播放过程中，对某个细节部分进行批注加以描述，批注样式、颜色、形状等等可自由选择。</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8口千兆交换机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bCs/>
                <w:color w:val="auto"/>
                <w:sz w:val="20"/>
                <w:szCs w:val="20"/>
              </w:rPr>
              <w:t xml:space="preserve">不少于8口10/100/1000M千兆交换机。</w:t>
            </w:r>
            <w:r>
              <w:rPr>
                <w:rFonts w:hint="eastAsia" w:ascii="宋体" w:hAnsi="宋体" w:cs="宋体"/>
                <w:color w:val="auto"/>
                <w:sz w:val="20"/>
                <w:szCs w:val="20"/>
              </w:rPr>
              <w:t xml:space="preserve">包转发率≥23.8Mpps，交换容量≥32Gbps。</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16口千兆交换机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不少于16口10/100/1000M千兆交换机，包转发率≥11.9Mpps，交换容量≥16Gbps。</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63</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高清HDMI矩阵</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1、嵌入式LINUX操作系统，便于开发和维护，</w:t>
            </w:r>
            <w:r>
              <w:rPr>
                <w:rFonts w:hint="eastAsia" w:ascii="宋体" w:hAnsi="宋体" w:cs="宋体"/>
                <w:color w:val="auto"/>
                <w:sz w:val="20"/>
                <w:szCs w:val="20"/>
              </w:rPr>
              <w:t xml:space="preserve">配置不低于4路4K60hz输入，8路4K60hz输出；</w:t>
            </w:r>
            <w:r/>
          </w:p>
          <w:p>
            <w:pPr>
              <w:jc w:val="left"/>
              <w:rPr>
                <w:rFonts w:hint="eastAsia" w:ascii="宋体" w:hAnsi="宋体" w:cs="宋体"/>
                <w:color w:val="auto"/>
                <w:sz w:val="20"/>
                <w:szCs w:val="20"/>
              </w:rPr>
            </w:pPr>
            <w:r>
              <w:rPr>
                <w:rFonts w:hint="eastAsia" w:ascii="宋体" w:hAnsi="宋体" w:cs="宋体"/>
                <w:color w:val="auto"/>
                <w:sz w:val="20"/>
                <w:szCs w:val="20"/>
              </w:rPr>
              <w:t xml:space="preserve">2、不少于4个2.5G的RJ45接口、2个万兆光口；</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3、支持双主控热备，无感切换，切换过程中上墙画面正常显示不受影响；</w:t>
            </w:r>
            <w:r/>
          </w:p>
          <w:p>
            <w:pPr>
              <w:jc w:val="left"/>
              <w:rPr>
                <w:rFonts w:hint="eastAsia" w:ascii="宋体" w:hAnsi="宋体" w:cs="宋体"/>
                <w:color w:val="auto"/>
                <w:sz w:val="20"/>
                <w:szCs w:val="20"/>
              </w:rPr>
            </w:pPr>
            <w:r>
              <w:rPr>
                <w:rFonts w:hint="eastAsia" w:ascii="宋体" w:hAnsi="宋体" w:cs="宋体"/>
                <w:color w:val="auto"/>
                <w:sz w:val="20"/>
                <w:szCs w:val="20"/>
              </w:rPr>
              <w:t xml:space="preserve">4、智能风扇自动调温，确保系统稳定可靠，支持会议模式一键静音；</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5、支持双码流技术，可变码流，支持复合流和视频流编码，复合流编码时音频和视频同步；</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6、支持DP、HDMI、DVI等常见视频信号接入，并编码转发至其他存储设备，最大支持4K@60信号的采集和编码，支持视音频同步解码；</w:t>
            </w:r>
            <w:r/>
          </w:p>
          <w:p>
            <w:pPr>
              <w:jc w:val="left"/>
              <w:rPr>
                <w:rFonts w:hint="eastAsia" w:ascii="宋体" w:hAnsi="宋体" w:cs="宋体"/>
                <w:color w:val="auto"/>
                <w:sz w:val="20"/>
                <w:szCs w:val="20"/>
              </w:rPr>
            </w:pPr>
            <w:r>
              <w:rPr>
                <w:rFonts w:hint="eastAsia" w:ascii="宋体" w:hAnsi="宋体" w:cs="宋体"/>
                <w:color w:val="auto"/>
                <w:sz w:val="20"/>
                <w:szCs w:val="20"/>
              </w:rPr>
              <w:t xml:space="preserve">7、支持32MP、16MP、12MP、8MP、5MP、3MP、1080p、720p、D1视频解码；</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8、支持H.265/H.264/SVAC/MPEG4/MJPEG视频标准；</w:t>
            </w:r>
            <w:r/>
          </w:p>
          <w:p>
            <w:pPr>
              <w:jc w:val="left"/>
              <w:rPr>
                <w:rFonts w:hint="eastAsia" w:ascii="宋体" w:hAnsi="宋体" w:cs="宋体"/>
                <w:color w:val="auto"/>
                <w:sz w:val="20"/>
                <w:szCs w:val="20"/>
              </w:rPr>
            </w:pPr>
            <w:r>
              <w:rPr>
                <w:rFonts w:hint="eastAsia" w:ascii="宋体" w:hAnsi="宋体" w:cs="宋体"/>
                <w:color w:val="auto"/>
                <w:sz w:val="20"/>
                <w:szCs w:val="20"/>
              </w:rPr>
              <w:t xml:space="preserve">9、支持信号多路复制，同一路信号复制路数不少于32路；</w:t>
            </w:r>
            <w:r/>
          </w:p>
          <w:p>
            <w:pPr>
              <w:jc w:val="left"/>
              <w:rPr>
                <w:rFonts w:hint="eastAsia" w:ascii="宋体" w:hAnsi="宋体" w:cs="宋体"/>
                <w:color w:val="auto"/>
                <w:sz w:val="20"/>
                <w:szCs w:val="20"/>
              </w:rPr>
            </w:pPr>
            <w:r>
              <w:rPr>
                <w:rFonts w:hint="eastAsia" w:ascii="宋体" w:hAnsi="宋体" w:cs="宋体"/>
                <w:color w:val="auto"/>
                <w:sz w:val="20"/>
                <w:szCs w:val="20"/>
              </w:rPr>
              <w:t xml:space="preserve">10、支持web浏览器、PC客户端、移动客户端、网络键盘等控制切换；</w:t>
            </w:r>
            <w:r/>
          </w:p>
          <w:p>
            <w:pPr>
              <w:jc w:val="left"/>
              <w:rPr>
                <w:rFonts w:hint="eastAsia" w:ascii="宋体" w:hAnsi="宋体" w:cs="宋体"/>
                <w:color w:val="auto"/>
                <w:sz w:val="20"/>
                <w:szCs w:val="20"/>
              </w:rPr>
            </w:pPr>
            <w:r>
              <w:rPr>
                <w:rFonts w:hint="eastAsia" w:ascii="宋体" w:hAnsi="宋体" w:cs="宋体"/>
                <w:color w:val="auto"/>
                <w:sz w:val="20"/>
                <w:szCs w:val="20"/>
              </w:rPr>
              <w:t xml:space="preserve">11、</w:t>
            </w:r>
            <w:r>
              <w:rPr>
                <w:rFonts w:hint="eastAsia" w:ascii="宋体" w:hAnsi="宋体" w:cs="宋体"/>
                <w:color w:val="auto"/>
              </w:rPr>
              <w:t xml:space="preserve">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w:t>
            </w:r>
            <w:r>
              <w:rPr>
                <w:rFonts w:hint="eastAsia" w:ascii="宋体" w:hAnsi="宋体" w:cs="宋体"/>
                <w:color w:val="auto"/>
                <w:sz w:val="20"/>
                <w:szCs w:val="20"/>
              </w:rPr>
              <w:t xml:space="preserve">；</w:t>
            </w:r>
            <w:r/>
          </w:p>
          <w:p>
            <w:pPr>
              <w:jc w:val="left"/>
              <w:rPr>
                <w:rFonts w:hint="eastAsia" w:ascii="宋体" w:hAnsi="宋体" w:cs="宋体"/>
                <w:color w:val="auto"/>
                <w:sz w:val="20"/>
                <w:szCs w:val="20"/>
              </w:rPr>
            </w:pPr>
            <w:r>
              <w:rPr>
                <w:rFonts w:hint="eastAsia" w:ascii="宋体" w:hAnsi="宋体" w:cs="宋体"/>
                <w:color w:val="auto"/>
                <w:sz w:val="20"/>
                <w:szCs w:val="20"/>
              </w:rPr>
              <w:t xml:space="preserve">12、支持1/4/6/8/9/16/25/36画面分割显示，支持自由分割；</w:t>
            </w:r>
            <w:r/>
          </w:p>
          <w:p>
            <w:pPr>
              <w:jc w:val="left"/>
              <w:rPr>
                <w:rFonts w:hint="eastAsia" w:ascii="宋体" w:hAnsi="宋体" w:cs="宋体"/>
                <w:color w:val="auto"/>
                <w:sz w:val="20"/>
                <w:szCs w:val="20"/>
              </w:rPr>
            </w:pPr>
            <w:r>
              <w:rPr>
                <w:rFonts w:hint="eastAsia" w:ascii="宋体" w:hAnsi="宋体" w:cs="宋体"/>
                <w:color w:val="auto"/>
                <w:sz w:val="20"/>
                <w:szCs w:val="20"/>
              </w:rPr>
              <w:t xml:space="preserve">13、支持点对点高清底图显示；</w:t>
            </w:r>
            <w:r/>
          </w:p>
          <w:p>
            <w:pPr>
              <w:jc w:val="left"/>
              <w:rPr>
                <w:rFonts w:hint="eastAsia" w:ascii="宋体" w:hAnsi="宋体" w:cs="宋体"/>
                <w:color w:val="auto"/>
                <w:sz w:val="20"/>
                <w:szCs w:val="20"/>
              </w:rPr>
            </w:pPr>
            <w:r>
              <w:rPr>
                <w:rFonts w:hint="eastAsia" w:ascii="宋体" w:hAnsi="宋体" w:cs="宋体"/>
                <w:color w:val="auto"/>
                <w:sz w:val="20"/>
                <w:szCs w:val="20"/>
              </w:rPr>
              <w:t xml:space="preserve">14、支持字幕叠加功能，文字字体、颜色、字符间距、背景色、滚动速度可调节；</w:t>
            </w:r>
            <w:r/>
          </w:p>
          <w:p>
            <w:pPr>
              <w:jc w:val="left"/>
              <w:rPr>
                <w:rFonts w:hint="eastAsia" w:ascii="宋体" w:hAnsi="宋体" w:cs="宋体"/>
                <w:color w:val="auto"/>
                <w:sz w:val="20"/>
                <w:szCs w:val="20"/>
              </w:rPr>
            </w:pPr>
            <w:r>
              <w:rPr>
                <w:rFonts w:hint="eastAsia" w:ascii="宋体" w:hAnsi="宋体" w:cs="宋体"/>
                <w:color w:val="auto"/>
                <w:sz w:val="20"/>
                <w:szCs w:val="20"/>
              </w:rPr>
              <w:t xml:space="preserve">15、支持双电源冗余；</w:t>
            </w:r>
            <w:r/>
          </w:p>
          <w:p>
            <w:pPr>
              <w:jc w:val="left"/>
              <w:rPr>
                <w:rFonts w:hint="eastAsia" w:ascii="宋体" w:hAnsi="宋体" w:cs="宋体"/>
                <w:color w:val="auto"/>
                <w:sz w:val="20"/>
                <w:szCs w:val="20"/>
              </w:rPr>
            </w:pPr>
            <w:r>
              <w:rPr>
                <w:rFonts w:hint="eastAsia" w:ascii="宋体" w:hAnsi="宋体" w:cs="宋体"/>
                <w:color w:val="auto"/>
                <w:sz w:val="20"/>
                <w:szCs w:val="20"/>
              </w:rPr>
              <w:t xml:space="preserve">16、机箱高度≤8U，具备不少于2  7个板卡插槽，输入输出板卡支持混插，业务卡槽支持适配输入或输出板卡插入识别及使用；</w:t>
            </w:r>
            <w:r/>
          </w:p>
          <w:p>
            <w:pPr>
              <w:jc w:val="left"/>
              <w:rPr>
                <w:rFonts w:hint="eastAsia" w:ascii="宋体" w:hAnsi="宋体" w:cs="宋体"/>
                <w:color w:val="auto"/>
                <w:sz w:val="20"/>
                <w:szCs w:val="20"/>
              </w:rPr>
            </w:pPr>
            <w:r>
              <w:rPr>
                <w:rFonts w:hint="eastAsia" w:ascii="宋体" w:hAnsi="宋体" w:cs="宋体"/>
                <w:color w:val="auto"/>
                <w:sz w:val="20"/>
                <w:szCs w:val="20"/>
              </w:rPr>
              <w:t xml:space="preserve">▲17、支持每个通道编码参数独立可调，包括分辨率、帧率、码率、亮度、对比度、饱和度、色度，支持复合流编码，音频和视频同步，编码设置页面支持YUV444和YUV420的模式切换，支持主码流、辅码流同步编码；</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lang w:bidi="ar"/>
              </w:rPr>
            </w:pPr>
            <w:r>
              <w:rPr>
                <w:rFonts w:hint="eastAsia" w:ascii="宋体" w:hAnsi="宋体" w:cs="宋体"/>
                <w:color w:val="auto"/>
                <w:sz w:val="20"/>
                <w:szCs w:val="20"/>
              </w:rPr>
              <w:t xml:space="preserve">▲18、解码卡单输出口支持36路1080P (200万)，或9路4096×2160 (800万)，或2路8640×3840 (3200万)，或4路8192×2160(1600万)/4000×3000(1200万)，或12路3392×2008(600万)/3072×1728(500万)，或16路2560×1440(400万)，或20路2048×1536(300万)，或72路720P/D1及以下分辨率实时解码信号的解码；</w:t>
            </w:r>
            <w:r>
              <w:rPr>
                <w:rFonts w:hint="eastAsia" w:ascii="宋体" w:hAnsi="宋体" w:cs="宋体"/>
                <w:color w:val="auto"/>
                <w:sz w:val="20"/>
                <w:szCs w:val="20"/>
                <w:lang w:bidi="ar"/>
              </w:rPr>
              <w:t xml:space="preserve">（签订合同时提供具有CMA标识的第三方检测报告）</w:t>
            </w:r>
            <w:r/>
          </w:p>
          <w:p>
            <w:pPr>
              <w:jc w:val="left"/>
              <w:rPr>
                <w:rFonts w:hint="eastAsia" w:ascii="宋体" w:hAnsi="宋体" w:cs="宋体"/>
                <w:color w:val="auto"/>
                <w:sz w:val="20"/>
                <w:szCs w:val="20"/>
              </w:rPr>
            </w:pPr>
            <w:r>
              <w:rPr>
                <w:rFonts w:hint="eastAsia" w:ascii="宋体" w:hAnsi="宋体" w:cs="宋体"/>
                <w:color w:val="auto"/>
                <w:sz w:val="20"/>
                <w:szCs w:val="20"/>
              </w:rPr>
              <w:t xml:space="preserve">▲19、输出板卡（解码卡）单输出口支持 36 个分辨率为 4096×2160 图层或 36个分辨率为1920×1080 图层输出。</w:t>
            </w:r>
            <w:r>
              <w:rPr>
                <w:rFonts w:hint="eastAsia" w:ascii="宋体" w:hAnsi="宋体" w:cs="宋体"/>
                <w:color w:val="auto"/>
                <w:sz w:val="20"/>
                <w:szCs w:val="20"/>
                <w:lang w:bidi="ar"/>
              </w:rPr>
              <w:t xml:space="preserve">（签订合同时提供具有CMA标识的第三方检测报告）</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集中管理主机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1、接口与控制核心板分离设计，控制核心板采用抽拉式板卡式设计；</w:t>
            </w:r>
            <w:r/>
          </w:p>
          <w:p>
            <w:pPr>
              <w:jc w:val="left"/>
              <w:rPr>
                <w:rFonts w:hint="eastAsia" w:ascii="宋体" w:hAnsi="宋体" w:cs="宋体"/>
                <w:color w:val="auto"/>
                <w:sz w:val="20"/>
                <w:szCs w:val="20"/>
              </w:rPr>
            </w:pPr>
            <w:r>
              <w:rPr>
                <w:rFonts w:hint="eastAsia" w:ascii="宋体" w:hAnsi="宋体" w:cs="宋体"/>
                <w:color w:val="auto"/>
                <w:sz w:val="20"/>
                <w:szCs w:val="20"/>
              </w:rPr>
              <w:t xml:space="preserve">2、不少于8路独立可编程红外发射接口，均可进行自由编程，支持红外接收窗接收遥控器红外信号进行红外学习；</w:t>
            </w:r>
            <w:r/>
          </w:p>
          <w:p>
            <w:pPr>
              <w:jc w:val="left"/>
              <w:rPr>
                <w:rFonts w:hint="eastAsia" w:ascii="宋体" w:hAnsi="宋体" w:cs="宋体"/>
                <w:color w:val="auto"/>
                <w:sz w:val="20"/>
                <w:szCs w:val="20"/>
              </w:rPr>
            </w:pPr>
            <w:r>
              <w:rPr>
                <w:rFonts w:hint="eastAsia" w:ascii="宋体" w:hAnsi="宋体" w:cs="宋体"/>
                <w:color w:val="auto"/>
                <w:sz w:val="20"/>
                <w:szCs w:val="20"/>
              </w:rPr>
              <w:t xml:space="preserve">3、不少于10路独立可编程RS-232/422/485控制接口，其中不少于4路双向控制接口，不少于6路单向发送控制接口。每个接口波特率支持600-115200；</w:t>
            </w:r>
            <w:r/>
          </w:p>
          <w:p>
            <w:pPr>
              <w:jc w:val="left"/>
              <w:rPr>
                <w:rFonts w:hint="eastAsia" w:ascii="宋体" w:hAnsi="宋体" w:cs="宋体"/>
                <w:color w:val="auto"/>
                <w:sz w:val="20"/>
                <w:szCs w:val="20"/>
              </w:rPr>
            </w:pPr>
            <w:r>
              <w:rPr>
                <w:rFonts w:hint="eastAsia" w:ascii="宋体" w:hAnsi="宋体" w:cs="宋体"/>
                <w:color w:val="auto"/>
                <w:sz w:val="20"/>
                <w:szCs w:val="20"/>
              </w:rPr>
              <w:t xml:space="preserve">4、不少于2路独立固定RS-232控制接口，方便接驳触摸屏、本地电脑等控制界面；</w:t>
            </w:r>
            <w:r/>
          </w:p>
          <w:p>
            <w:pPr>
              <w:jc w:val="left"/>
              <w:rPr>
                <w:rFonts w:hint="eastAsia" w:ascii="宋体" w:hAnsi="宋体" w:cs="宋体"/>
                <w:color w:val="auto"/>
                <w:sz w:val="20"/>
                <w:szCs w:val="20"/>
              </w:rPr>
            </w:pPr>
            <w:r>
              <w:rPr>
                <w:rFonts w:hint="eastAsia" w:ascii="宋体" w:hAnsi="宋体" w:cs="宋体"/>
                <w:color w:val="auto"/>
                <w:sz w:val="20"/>
                <w:szCs w:val="20"/>
              </w:rPr>
              <w:t xml:space="preserve">5、不少于8路弱电继电器控制接口，开关时间、顺序可编程设置；</w:t>
            </w:r>
            <w:r/>
          </w:p>
          <w:p>
            <w:pPr>
              <w:jc w:val="left"/>
              <w:rPr>
                <w:rFonts w:hint="eastAsia" w:ascii="宋体" w:hAnsi="宋体" w:cs="宋体"/>
                <w:color w:val="auto"/>
                <w:sz w:val="20"/>
                <w:szCs w:val="20"/>
              </w:rPr>
            </w:pPr>
            <w:r>
              <w:rPr>
                <w:rFonts w:hint="eastAsia" w:ascii="宋体" w:hAnsi="宋体" w:cs="宋体"/>
                <w:color w:val="auto"/>
                <w:sz w:val="20"/>
                <w:szCs w:val="20"/>
              </w:rPr>
              <w:t xml:space="preserve">6、不少于8路DI输入检测端口，联动功能可编程设置；</w:t>
            </w:r>
            <w:r/>
          </w:p>
          <w:p>
            <w:pPr>
              <w:jc w:val="left"/>
              <w:rPr>
                <w:rFonts w:hint="eastAsia" w:ascii="宋体" w:hAnsi="宋体" w:cs="宋体"/>
                <w:color w:val="auto"/>
                <w:sz w:val="20"/>
                <w:szCs w:val="20"/>
              </w:rPr>
            </w:pPr>
            <w:r>
              <w:rPr>
                <w:rFonts w:hint="eastAsia" w:ascii="宋体" w:hAnsi="宋体" w:cs="宋体"/>
                <w:color w:val="auto"/>
                <w:sz w:val="20"/>
                <w:szCs w:val="20"/>
              </w:rPr>
              <w:t xml:space="preserve">7、不少于2路MINI USB可编程接口；</w:t>
            </w:r>
            <w:r/>
          </w:p>
          <w:p>
            <w:pPr>
              <w:jc w:val="left"/>
              <w:rPr>
                <w:rFonts w:hint="eastAsia" w:ascii="宋体" w:hAnsi="宋体" w:cs="宋体"/>
                <w:color w:val="auto"/>
                <w:sz w:val="20"/>
                <w:szCs w:val="20"/>
              </w:rPr>
            </w:pPr>
            <w:r>
              <w:rPr>
                <w:rFonts w:hint="eastAsia" w:ascii="宋体" w:hAnsi="宋体" w:cs="宋体"/>
                <w:color w:val="auto"/>
                <w:sz w:val="20"/>
                <w:szCs w:val="20"/>
              </w:rPr>
              <w:t xml:space="preserve">8、前面板内置≥4.3寸可编程液晶触摸屏，可对其进行自定义编程修改；</w:t>
            </w:r>
            <w:r/>
          </w:p>
          <w:p>
            <w:pPr>
              <w:jc w:val="left"/>
              <w:rPr>
                <w:rFonts w:hint="eastAsia" w:ascii="宋体" w:hAnsi="宋体" w:cs="宋体"/>
                <w:color w:val="auto"/>
                <w:sz w:val="20"/>
                <w:szCs w:val="20"/>
              </w:rPr>
            </w:pPr>
            <w:r>
              <w:rPr>
                <w:rFonts w:hint="eastAsia" w:ascii="宋体" w:hAnsi="宋体" w:cs="宋体"/>
                <w:color w:val="auto"/>
                <w:sz w:val="20"/>
                <w:szCs w:val="20"/>
              </w:rPr>
              <w:t xml:space="preserve">9、不少于1路RJ45网络控制端口、两路DC12V冗余供电；</w:t>
            </w:r>
            <w:r/>
          </w:p>
          <w:p>
            <w:pPr>
              <w:jc w:val="left"/>
              <w:rPr>
                <w:rFonts w:hint="eastAsia" w:ascii="宋体" w:hAnsi="宋体" w:cs="宋体"/>
                <w:color w:val="auto"/>
                <w:sz w:val="20"/>
                <w:szCs w:val="20"/>
              </w:rPr>
            </w:pPr>
            <w:r>
              <w:rPr>
                <w:rFonts w:hint="eastAsia" w:ascii="宋体" w:hAnsi="宋体" w:cs="宋体"/>
                <w:color w:val="auto"/>
                <w:sz w:val="20"/>
                <w:szCs w:val="20"/>
              </w:rPr>
              <w:t xml:space="preserve">10、支持苹果IOS、安卓Android、WindowsCE等操作系统的终端通过无线路由器控制中控；</w:t>
            </w:r>
            <w:r/>
          </w:p>
          <w:p>
            <w:pPr>
              <w:jc w:val="left"/>
              <w:rPr>
                <w:rFonts w:hint="eastAsia" w:ascii="宋体" w:hAnsi="宋体" w:cs="宋体"/>
                <w:color w:val="auto"/>
                <w:sz w:val="20"/>
                <w:szCs w:val="20"/>
              </w:rPr>
            </w:pPr>
            <w:r>
              <w:rPr>
                <w:rFonts w:hint="eastAsia" w:ascii="宋体" w:hAnsi="宋体" w:cs="宋体"/>
                <w:color w:val="auto"/>
                <w:sz w:val="20"/>
                <w:szCs w:val="20"/>
              </w:rPr>
              <w:t xml:space="preserve">11、支持多代码的控制，即一键发多行代码（IR红外、RS-485代码、RS-232代码）；</w:t>
            </w:r>
            <w:r/>
          </w:p>
          <w:p>
            <w:pPr>
              <w:jc w:val="left"/>
              <w:rPr>
                <w:rFonts w:hint="eastAsia" w:ascii="宋体" w:hAnsi="宋体" w:cs="宋体"/>
                <w:color w:val="auto"/>
                <w:sz w:val="20"/>
                <w:szCs w:val="20"/>
              </w:rPr>
            </w:pPr>
            <w:r>
              <w:rPr>
                <w:rFonts w:hint="eastAsia" w:ascii="宋体" w:hAnsi="宋体" w:cs="宋体"/>
                <w:color w:val="auto"/>
                <w:sz w:val="20"/>
                <w:szCs w:val="20"/>
              </w:rPr>
              <w:t xml:space="preserve">12、支持第三方设备及控制协议，可自行设置多种控制协议和代码；</w:t>
            </w:r>
            <w:r/>
          </w:p>
          <w:p>
            <w:pPr>
              <w:jc w:val="left"/>
              <w:rPr>
                <w:rFonts w:hint="eastAsia" w:ascii="宋体" w:hAnsi="宋体" w:cs="宋体"/>
                <w:color w:val="auto"/>
                <w:sz w:val="20"/>
                <w:szCs w:val="20"/>
              </w:rPr>
            </w:pPr>
            <w:r>
              <w:rPr>
                <w:rFonts w:hint="eastAsia" w:ascii="宋体" w:hAnsi="宋体" w:cs="宋体"/>
                <w:color w:val="auto"/>
                <w:sz w:val="20"/>
                <w:szCs w:val="20"/>
              </w:rPr>
              <w:t xml:space="preserve">13、两块核心板可进行故障备份，所有端口电路采用冗余设计，相当于内置两个中控，接口共用，任意时刻只有一路中控起作用，可随时切换到另一路，线路物理完全断开，不会相互影响；</w:t>
            </w:r>
            <w:r/>
          </w:p>
          <w:p>
            <w:pPr>
              <w:jc w:val="left"/>
              <w:rPr>
                <w:rFonts w:hint="eastAsia" w:ascii="宋体" w:hAnsi="宋体" w:cs="宋体"/>
                <w:color w:val="auto"/>
                <w:sz w:val="20"/>
                <w:szCs w:val="20"/>
              </w:rPr>
            </w:pPr>
            <w:r>
              <w:rPr>
                <w:rFonts w:hint="eastAsia" w:ascii="宋体" w:hAnsi="宋体" w:cs="宋体"/>
                <w:color w:val="auto"/>
                <w:sz w:val="20"/>
                <w:szCs w:val="20"/>
              </w:rPr>
              <w:t xml:space="preserve">14、可控制矩阵进行窗口拉流、码流切换，预案切换、大屏开关等操作；</w:t>
            </w:r>
            <w:r/>
          </w:p>
          <w:p>
            <w:pPr>
              <w:jc w:val="left"/>
              <w:rPr>
                <w:rFonts w:hint="eastAsia" w:ascii="宋体" w:hAnsi="宋体" w:cs="宋体"/>
                <w:color w:val="auto"/>
                <w:sz w:val="20"/>
                <w:szCs w:val="20"/>
              </w:rPr>
            </w:pPr>
            <w:r>
              <w:rPr>
                <w:rFonts w:hint="eastAsia" w:ascii="宋体" w:hAnsi="宋体" w:cs="宋体"/>
                <w:color w:val="auto"/>
                <w:sz w:val="20"/>
                <w:szCs w:val="20"/>
              </w:rPr>
              <w:t xml:space="preserve">15、界面支持自定义设置，支持在界面叠加图片及字符，大小、形状和位置可任意调整。</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系统控制编程</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1、同时支持三套相互独立的用户控制界面，支持多用户、跨平台、分布式控制，适用于多用户集群控制场景；</w:t>
            </w:r>
            <w:r/>
          </w:p>
          <w:p>
            <w:pPr>
              <w:jc w:val="left"/>
              <w:rPr>
                <w:rFonts w:hint="eastAsia" w:ascii="宋体" w:hAnsi="宋体" w:cs="宋体"/>
                <w:color w:val="auto"/>
                <w:sz w:val="20"/>
                <w:szCs w:val="20"/>
              </w:rPr>
            </w:pPr>
            <w:r>
              <w:rPr>
                <w:rFonts w:hint="eastAsia" w:ascii="宋体" w:hAnsi="宋体" w:cs="宋体"/>
                <w:color w:val="auto"/>
                <w:sz w:val="20"/>
                <w:szCs w:val="20"/>
              </w:rPr>
              <w:t xml:space="preserve">2、开放式自定义的用户编程界面，支持各种控制接口功能界面编程，操作界面功能简洁美观，方便操作，控制软件运行操作无延时、无卡顿，无崩溃等现象；</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3、支持中控软件查询当前设备状态，软件操作响应时间≤5ms；</w:t>
            </w:r>
            <w:r/>
          </w:p>
          <w:p>
            <w:pPr>
              <w:jc w:val="left"/>
              <w:rPr>
                <w:rFonts w:hint="eastAsia" w:ascii="宋体" w:hAnsi="宋体" w:cs="宋体"/>
                <w:color w:val="auto"/>
                <w:sz w:val="20"/>
                <w:szCs w:val="20"/>
              </w:rPr>
            </w:pPr>
            <w:r>
              <w:rPr>
                <w:rFonts w:hint="eastAsia" w:ascii="宋体" w:hAnsi="宋体" w:cs="宋体"/>
                <w:color w:val="auto"/>
                <w:sz w:val="20"/>
                <w:szCs w:val="20"/>
              </w:rPr>
              <w:t xml:space="preserve">4、软件支持在中标麒麟等国产系统上安装使用;软件对计算机CPU占有率≤5%,占用内存≤10%。</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8路继电器</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1、电源控制器采用一进一出模式不低于8路，单路输出负载最大支持16A，8路总负载不低于24000W；</w:t>
            </w:r>
            <w:r/>
          </w:p>
          <w:p>
            <w:pPr>
              <w:jc w:val="left"/>
              <w:rPr>
                <w:rFonts w:hint="eastAsia" w:ascii="宋体" w:hAnsi="宋体" w:cs="宋体"/>
                <w:color w:val="auto"/>
                <w:sz w:val="20"/>
                <w:szCs w:val="20"/>
              </w:rPr>
            </w:pPr>
            <w:r>
              <w:rPr>
                <w:rFonts w:hint="eastAsia" w:ascii="宋体" w:hAnsi="宋体" w:cs="宋体"/>
                <w:color w:val="auto"/>
                <w:sz w:val="20"/>
                <w:szCs w:val="20"/>
              </w:rPr>
              <w:t xml:space="preserve">2、采用过零切换技术，可保障负载和主机安全可靠，保护继电器触点；</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3、支持≥8路I/O控制接口，可以联动消防通道控制继电器开关动作；</w:t>
            </w:r>
            <w:r/>
          </w:p>
          <w:p>
            <w:pPr>
              <w:jc w:val="left"/>
              <w:rPr>
                <w:rFonts w:hint="eastAsia" w:ascii="宋体" w:hAnsi="宋体" w:cs="宋体"/>
                <w:color w:val="auto"/>
                <w:sz w:val="20"/>
                <w:szCs w:val="20"/>
              </w:rPr>
            </w:pPr>
            <w:r>
              <w:rPr>
                <w:rFonts w:hint="eastAsia" w:ascii="宋体" w:hAnsi="宋体" w:cs="宋体"/>
                <w:color w:val="auto"/>
                <w:sz w:val="20"/>
                <w:szCs w:val="20"/>
              </w:rPr>
              <w:t xml:space="preserve">4、支持网络LAN、NET、RS-232和I/O多种控制接口控制每一路电源的开关；</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5、支持网络和串口支持采集每一路电能参数并反馈到控制触摸屏端显示。</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智能电源管理器</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1、提供不少于8路电源时序开关通道，单通道的电流不低于10A，单通道总输入电流容量不低于38A；</w:t>
            </w:r>
            <w:r/>
          </w:p>
          <w:p>
            <w:pPr>
              <w:jc w:val="left"/>
              <w:rPr>
                <w:rFonts w:hint="eastAsia" w:ascii="宋体" w:hAnsi="宋体" w:cs="宋体"/>
                <w:color w:val="auto"/>
                <w:sz w:val="20"/>
                <w:szCs w:val="20"/>
              </w:rPr>
            </w:pPr>
            <w:r>
              <w:rPr>
                <w:rFonts w:hint="eastAsia" w:ascii="宋体" w:hAnsi="宋体" w:cs="宋体"/>
                <w:color w:val="auto"/>
                <w:sz w:val="20"/>
                <w:szCs w:val="20"/>
              </w:rPr>
              <w:t xml:space="preserve">2、支持用电安全管理与监测，支持电流、电压、温度监测，能够检测接入设备的电流、功率、能耗、温度等参数，并实时同步到服务器,带漏电、过压、欠压、过流和过载检测，出现这些用电安全问题时自动切断电路；</w:t>
            </w:r>
            <w:r/>
          </w:p>
          <w:p>
            <w:pPr>
              <w:jc w:val="left"/>
              <w:rPr>
                <w:rFonts w:hint="eastAsia" w:ascii="宋体" w:hAnsi="宋体" w:cs="宋体"/>
                <w:color w:val="auto"/>
                <w:sz w:val="20"/>
                <w:szCs w:val="20"/>
              </w:rPr>
            </w:pPr>
            <w:r>
              <w:rPr>
                <w:rFonts w:hint="eastAsia" w:ascii="宋体" w:hAnsi="宋体" w:cs="宋体"/>
                <w:color w:val="auto"/>
                <w:sz w:val="20"/>
                <w:szCs w:val="20"/>
              </w:rPr>
              <w:t xml:space="preserve">3、提供232及RJ45网络输入接口，或连接中控系统，对输出通道进行时序全开和全关操作的时序开关功能；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4、通过面板按键，对输出通道进行时序全开和全关操作的时序开关操作；</w:t>
            </w:r>
            <w:r/>
          </w:p>
          <w:p>
            <w:pPr>
              <w:jc w:val="left"/>
              <w:rPr>
                <w:rFonts w:hint="eastAsia" w:ascii="宋体" w:hAnsi="宋体" w:cs="宋体"/>
                <w:color w:val="auto"/>
                <w:sz w:val="20"/>
                <w:szCs w:val="20"/>
              </w:rPr>
            </w:pPr>
            <w:r>
              <w:rPr>
                <w:rFonts w:hint="eastAsia" w:ascii="宋体" w:hAnsi="宋体" w:cs="宋体"/>
                <w:color w:val="auto"/>
                <w:sz w:val="20"/>
                <w:szCs w:val="20"/>
              </w:rPr>
              <w:t xml:space="preserve">5、提供相邻端口互锁功能；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6、多个设备支持级联，实现多个设备间时序开关功能。</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移动控制终端</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不小于10.2英寸分辨率 2160×1620，多点触控,电容式触摸屏。</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69</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无线路由器</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不低于5G双频全千兆，触摸屏与控制系统建立通讯连接。</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无线投屏</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1、全面支持不少于AirPlay、Miracast、WiDi、GoogleCast 四大原生无线传输协议；</w:t>
            </w:r>
            <w:r/>
          </w:p>
          <w:p>
            <w:pPr>
              <w:jc w:val="left"/>
              <w:rPr>
                <w:rFonts w:hint="eastAsia" w:ascii="宋体" w:hAnsi="宋体" w:cs="宋体"/>
                <w:color w:val="auto"/>
                <w:sz w:val="20"/>
                <w:szCs w:val="20"/>
              </w:rPr>
            </w:pPr>
            <w:r>
              <w:rPr>
                <w:rFonts w:hint="eastAsia" w:ascii="宋体" w:hAnsi="宋体" w:cs="宋体"/>
                <w:color w:val="auto"/>
                <w:sz w:val="20"/>
                <w:szCs w:val="20"/>
              </w:rPr>
              <w:t xml:space="preserve">2、支持 不低于4K 高清视频输出并向下兼容，支持不少于4路画面同时显示；</w:t>
            </w:r>
            <w:r/>
          </w:p>
          <w:p>
            <w:pPr>
              <w:jc w:val="left"/>
              <w:rPr>
                <w:rFonts w:hint="eastAsia" w:ascii="宋体" w:hAnsi="宋体" w:cs="宋体"/>
                <w:color w:val="auto"/>
                <w:sz w:val="20"/>
                <w:szCs w:val="20"/>
              </w:rPr>
            </w:pPr>
            <w:r>
              <w:rPr>
                <w:rFonts w:hint="eastAsia" w:ascii="宋体" w:hAnsi="宋体" w:cs="宋体"/>
                <w:color w:val="auto"/>
                <w:sz w:val="20"/>
                <w:szCs w:val="20"/>
              </w:rPr>
              <w:t xml:space="preserve">3、支持通用视频格式，支持多种分辨率，不少于720P@60Hz，1080P@60Hz，4K@30Hz；</w:t>
            </w:r>
            <w:r/>
          </w:p>
          <w:p>
            <w:pPr>
              <w:jc w:val="left"/>
              <w:rPr>
                <w:rFonts w:hint="eastAsia" w:ascii="宋体" w:hAnsi="宋体" w:cs="宋体"/>
                <w:color w:val="auto"/>
                <w:sz w:val="20"/>
                <w:szCs w:val="20"/>
              </w:rPr>
            </w:pPr>
            <w:r>
              <w:rPr>
                <w:rFonts w:hint="eastAsia" w:ascii="宋体" w:hAnsi="宋体" w:cs="宋体"/>
                <w:color w:val="auto"/>
                <w:sz w:val="20"/>
                <w:szCs w:val="20"/>
              </w:rPr>
              <w:t xml:space="preserve">4、无线模块：不少于802.11 a/g/n/ac；2.4GHz／5GHz双波段（自适应至最佳信道）。</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墙面控制面板</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1、采用不低于四核64位ARM Cortex-A35高性能处理器，主频≥1.5GHz，板载1GB RAM，8GB Flash闪存；</w:t>
            </w:r>
            <w:r/>
          </w:p>
          <w:p>
            <w:pPr>
              <w:jc w:val="left"/>
              <w:rPr>
                <w:rFonts w:hint="eastAsia" w:ascii="宋体" w:hAnsi="宋体" w:cs="宋体"/>
                <w:color w:val="auto"/>
                <w:sz w:val="20"/>
                <w:szCs w:val="20"/>
              </w:rPr>
            </w:pPr>
            <w:r>
              <w:rPr>
                <w:rFonts w:hint="eastAsia" w:ascii="宋体" w:hAnsi="宋体" w:cs="宋体"/>
                <w:color w:val="auto"/>
                <w:sz w:val="20"/>
                <w:szCs w:val="20"/>
              </w:rPr>
              <w:t xml:space="preserve">2、不小于9英寸IPS屏幕，最高分辨率：≥1024x600，最多支持不少于5点电容触摸。宽高比：16:9；</w:t>
            </w:r>
            <w:r/>
          </w:p>
          <w:p>
            <w:pPr>
              <w:jc w:val="left"/>
              <w:rPr>
                <w:rFonts w:hint="eastAsia" w:ascii="宋体" w:hAnsi="宋体" w:cs="宋体"/>
                <w:color w:val="auto"/>
                <w:sz w:val="20"/>
                <w:szCs w:val="20"/>
              </w:rPr>
            </w:pPr>
            <w:r>
              <w:rPr>
                <w:rFonts w:hint="eastAsia" w:ascii="宋体" w:hAnsi="宋体" w:cs="宋体"/>
                <w:color w:val="auto"/>
                <w:sz w:val="20"/>
                <w:szCs w:val="20"/>
              </w:rPr>
              <w:t xml:space="preserve">3、通过以有线网络与中控主机进行通信，可实现对中控主机的控制操作和反馈信息的显示；</w:t>
            </w:r>
            <w:r/>
          </w:p>
          <w:p>
            <w:pPr>
              <w:jc w:val="left"/>
              <w:rPr>
                <w:rFonts w:hint="eastAsia" w:ascii="宋体" w:hAnsi="宋体" w:cs="宋体"/>
                <w:color w:val="auto"/>
                <w:sz w:val="20"/>
                <w:szCs w:val="20"/>
              </w:rPr>
            </w:pPr>
            <w:r>
              <w:rPr>
                <w:rFonts w:hint="eastAsia" w:ascii="宋体" w:hAnsi="宋体" w:cs="宋体"/>
                <w:color w:val="auto"/>
                <w:sz w:val="20"/>
                <w:szCs w:val="20"/>
              </w:rPr>
              <w:t xml:space="preserve">4、内置麦克风、扬声器，支持拾音和声音外放；</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5、支持多台触摸屏同时控制，而且触摸屏所有控制页面的按键和状态完全一致，主屏幕在跳页主页或者子页的同时，其余触摸屏状态实时同步；</w:t>
            </w:r>
            <w:r/>
          </w:p>
          <w:p>
            <w:pPr>
              <w:jc w:val="left"/>
              <w:rPr>
                <w:rFonts w:hint="eastAsia" w:ascii="宋体" w:hAnsi="宋体" w:cs="宋体"/>
                <w:color w:val="auto"/>
                <w:sz w:val="20"/>
                <w:szCs w:val="20"/>
              </w:rPr>
            </w:pPr>
            <w:r>
              <w:rPr>
                <w:rFonts w:hint="eastAsia" w:ascii="宋体" w:hAnsi="宋体" w:cs="宋体"/>
                <w:color w:val="auto"/>
                <w:sz w:val="20"/>
                <w:szCs w:val="20"/>
              </w:rPr>
              <w:t xml:space="preserve">6、支持双机热备份，内置双中控ip地址，可实时检测主中控机与备份中控机的工作状态。</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bookmarkStart w:id="196" w:name="_Hlk203982930"/>
            <w:r>
              <w:rPr>
                <w:rFonts w:hint="eastAsia" w:ascii="宋体" w:hAnsi="宋体" w:cs="宋体"/>
                <w:color w:val="auto"/>
                <w:sz w:val="20"/>
                <w:szCs w:val="20"/>
                <w:lang w:bidi="ar"/>
              </w:rPr>
              <w:t xml:space="preserve">72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数字会议系统主机</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1、符合IEC60914国际标准，高性能工业级嵌入式处理器，系统稳定，速度快；</w:t>
            </w:r>
            <w:r/>
          </w:p>
          <w:p>
            <w:pPr>
              <w:jc w:val="left"/>
              <w:rPr>
                <w:rFonts w:hint="eastAsia" w:ascii="宋体" w:hAnsi="宋体" w:cs="宋体"/>
                <w:color w:val="auto"/>
                <w:sz w:val="20"/>
                <w:szCs w:val="20"/>
              </w:rPr>
            </w:pPr>
            <w:r>
              <w:rPr>
                <w:rFonts w:hint="eastAsia" w:ascii="宋体" w:hAnsi="宋体" w:cs="宋体"/>
                <w:color w:val="auto"/>
                <w:sz w:val="20"/>
                <w:szCs w:val="20"/>
              </w:rPr>
              <w:t xml:space="preserve">2、数字化处理和传输技术，再多的设备也不受干扰，全数字传输，克服长距离传输的衰减问题，专用六芯带屏蔽线传输距离不小于240米；</w:t>
            </w:r>
            <w:r/>
          </w:p>
          <w:p>
            <w:pPr>
              <w:jc w:val="left"/>
              <w:rPr>
                <w:rFonts w:hint="eastAsia" w:ascii="宋体" w:hAnsi="宋体" w:cs="宋体"/>
                <w:color w:val="auto"/>
                <w:sz w:val="20"/>
                <w:szCs w:val="20"/>
              </w:rPr>
            </w:pPr>
            <w:r>
              <w:rPr>
                <w:rFonts w:hint="eastAsia" w:ascii="宋体" w:hAnsi="宋体" w:cs="宋体"/>
                <w:color w:val="auto"/>
                <w:sz w:val="20"/>
                <w:szCs w:val="20"/>
              </w:rPr>
              <w:t xml:space="preserve">3、内置环境噪音消除器、数字均衡电路、自适应反馈抑器，可有效消除本地噪声，大幅提升会场声级，有效防止啸叫；</w:t>
            </w:r>
            <w:r/>
          </w:p>
          <w:p>
            <w:pPr>
              <w:jc w:val="left"/>
              <w:rPr>
                <w:rFonts w:hint="eastAsia" w:ascii="宋体" w:hAnsi="宋体" w:cs="宋体"/>
                <w:color w:val="auto"/>
                <w:sz w:val="20"/>
                <w:szCs w:val="20"/>
              </w:rPr>
            </w:pPr>
            <w:r>
              <w:rPr>
                <w:rFonts w:hint="eastAsia" w:ascii="宋体" w:hAnsi="宋体" w:cs="宋体"/>
                <w:color w:val="auto"/>
                <w:sz w:val="20"/>
                <w:szCs w:val="20"/>
              </w:rPr>
              <w:t xml:space="preserve">4、采用6芯DIN带屏蔽线缆或超六类带屏蔽网线连接，有效防止线路电磁干扰双机热备份模式功能，可把主机设为热备份模式级联进行系统备份；</w:t>
            </w:r>
            <w:r/>
          </w:p>
          <w:p>
            <w:pPr>
              <w:jc w:val="left"/>
              <w:rPr>
                <w:rFonts w:hint="eastAsia" w:ascii="宋体" w:hAnsi="宋体" w:cs="宋体"/>
                <w:color w:val="auto"/>
                <w:sz w:val="20"/>
                <w:szCs w:val="20"/>
              </w:rPr>
            </w:pPr>
            <w:r>
              <w:rPr>
                <w:rFonts w:hint="eastAsia" w:ascii="宋体" w:hAnsi="宋体" w:cs="宋体"/>
                <w:color w:val="auto"/>
                <w:sz w:val="20"/>
                <w:szCs w:val="20"/>
              </w:rPr>
              <w:t xml:space="preserve">5、不小于4.3英寸真彩色触摸屏，内嵌式Linux系统，中文操作界面；</w:t>
            </w:r>
            <w:r/>
          </w:p>
          <w:p>
            <w:pPr>
              <w:jc w:val="left"/>
              <w:rPr>
                <w:rFonts w:hint="eastAsia" w:ascii="宋体" w:hAnsi="宋体" w:cs="宋体"/>
                <w:color w:val="auto"/>
                <w:sz w:val="20"/>
                <w:szCs w:val="20"/>
              </w:rPr>
            </w:pPr>
            <w:r>
              <w:rPr>
                <w:rFonts w:hint="eastAsia" w:ascii="宋体" w:hAnsi="宋体" w:cs="宋体"/>
                <w:color w:val="auto"/>
                <w:sz w:val="20"/>
                <w:szCs w:val="20"/>
              </w:rPr>
              <w:t xml:space="preserve">6、可触摸设置会议模式、系统音量调节、话简管理、单元编号、摄像机参数、视像跟踪设置和倒计时设置以及茶水服务功能等（后台软件）；</w:t>
            </w:r>
            <w:r/>
          </w:p>
          <w:p>
            <w:pPr>
              <w:jc w:val="left"/>
              <w:rPr>
                <w:rFonts w:hint="eastAsia" w:ascii="宋体" w:hAnsi="宋体" w:cs="宋体"/>
                <w:color w:val="auto"/>
                <w:sz w:val="20"/>
                <w:szCs w:val="20"/>
              </w:rPr>
            </w:pPr>
            <w:r>
              <w:rPr>
                <w:rFonts w:hint="eastAsia" w:ascii="宋体" w:hAnsi="宋体" w:cs="宋体"/>
                <w:color w:val="auto"/>
                <w:sz w:val="20"/>
                <w:szCs w:val="20"/>
              </w:rPr>
              <w:t xml:space="preserve">7、会议模式:自由模式、轮替模式、限制模式、申请模式、计时模式、声控模式、PTT模式、VIP模式；</w:t>
            </w:r>
            <w:r/>
          </w:p>
          <w:p>
            <w:pPr>
              <w:jc w:val="left"/>
              <w:rPr>
                <w:rFonts w:hint="eastAsia" w:ascii="宋体" w:hAnsi="宋体" w:cs="宋体"/>
                <w:color w:val="auto"/>
                <w:sz w:val="20"/>
                <w:szCs w:val="20"/>
              </w:rPr>
            </w:pPr>
            <w:r>
              <w:rPr>
                <w:rFonts w:hint="eastAsia" w:ascii="宋体" w:hAnsi="宋体" w:cs="宋体"/>
                <w:color w:val="auto"/>
                <w:sz w:val="20"/>
                <w:szCs w:val="20"/>
              </w:rPr>
              <w:t xml:space="preserve">8、支持不少于1组光纤音频接口，具有2x50W功放模块，可直接外接音箱使用（选配）；</w:t>
            </w:r>
            <w:r/>
          </w:p>
          <w:p>
            <w:pPr>
              <w:jc w:val="left"/>
              <w:rPr>
                <w:rFonts w:hint="eastAsia" w:ascii="宋体" w:hAnsi="宋体" w:cs="宋体"/>
                <w:color w:val="auto"/>
                <w:sz w:val="20"/>
                <w:szCs w:val="20"/>
              </w:rPr>
            </w:pPr>
            <w:r>
              <w:rPr>
                <w:rFonts w:hint="eastAsia" w:ascii="宋体" w:hAnsi="宋体" w:cs="宋体"/>
                <w:color w:val="auto"/>
                <w:sz w:val="20"/>
                <w:szCs w:val="20"/>
              </w:rPr>
              <w:t xml:space="preserve">9、不少于1路5V消防联动警报接口，此接口为扩展接口，可用于消防警报连接端口；                                                                                                                                   </w:t>
            </w:r>
            <w:r/>
          </w:p>
          <w:p>
            <w:pPr>
              <w:jc w:val="left"/>
              <w:rPr>
                <w:rFonts w:hint="eastAsia" w:ascii="宋体" w:hAnsi="宋体" w:cs="宋体"/>
                <w:color w:val="auto"/>
                <w:sz w:val="20"/>
                <w:szCs w:val="20"/>
              </w:rPr>
            </w:pPr>
            <w:r>
              <w:rPr>
                <w:rFonts w:hint="eastAsia" w:ascii="宋体" w:hAnsi="宋体" w:cs="宋体"/>
                <w:color w:val="auto"/>
                <w:sz w:val="20"/>
                <w:szCs w:val="20"/>
              </w:rPr>
              <w:t xml:space="preserve">10、具有USB录音功能，可对会议进行录音，具有系统监听功能，调试更方便；</w:t>
            </w:r>
            <w:r/>
          </w:p>
          <w:p>
            <w:pPr>
              <w:jc w:val="left"/>
              <w:rPr>
                <w:rFonts w:hint="eastAsia" w:ascii="宋体" w:hAnsi="宋体" w:cs="宋体"/>
                <w:color w:val="auto"/>
                <w:sz w:val="20"/>
                <w:szCs w:val="20"/>
              </w:rPr>
            </w:pPr>
            <w:r>
              <w:rPr>
                <w:rFonts w:hint="eastAsia" w:ascii="宋体" w:hAnsi="宋体" w:cs="宋体"/>
                <w:color w:val="auto"/>
                <w:sz w:val="20"/>
                <w:szCs w:val="20"/>
              </w:rPr>
              <w:t xml:space="preserve">11、内置表决功能，具有签到、表决、选举、评分、响应的数据管理功能；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12、系统主机内置4进1出高清摄像跟踪切换模块，无须配置电脑，可脱机进行视频跟踪；                                                                                                                                 </w:t>
            </w:r>
            <w:r/>
          </w:p>
          <w:p>
            <w:pPr>
              <w:jc w:val="left"/>
              <w:rPr>
                <w:rFonts w:hint="eastAsia" w:ascii="宋体" w:hAnsi="宋体" w:cs="宋体"/>
                <w:color w:val="auto"/>
                <w:sz w:val="20"/>
                <w:szCs w:val="20"/>
              </w:rPr>
            </w:pPr>
            <w:r>
              <w:rPr>
                <w:rFonts w:hint="eastAsia" w:ascii="宋体" w:hAnsi="宋体" w:cs="宋体"/>
                <w:color w:val="auto"/>
                <w:sz w:val="20"/>
                <w:szCs w:val="20"/>
              </w:rPr>
              <w:t xml:space="preserve">13、不少于1路扩展RS232端口支持混合切换矩阵，视频自动切换可扩展至128路，单机支持不少于512个摄像机位置自动跟踪控制点；</w:t>
            </w:r>
            <w:r/>
          </w:p>
          <w:p>
            <w:pPr>
              <w:jc w:val="left"/>
              <w:rPr>
                <w:rFonts w:hint="eastAsia" w:ascii="宋体" w:hAnsi="宋体" w:cs="宋体"/>
                <w:color w:val="auto"/>
                <w:sz w:val="20"/>
                <w:szCs w:val="20"/>
              </w:rPr>
            </w:pPr>
            <w:r>
              <w:rPr>
                <w:rFonts w:hint="eastAsia" w:ascii="宋体" w:hAnsi="宋体" w:cs="宋体"/>
                <w:color w:val="auto"/>
                <w:sz w:val="20"/>
                <w:szCs w:val="20"/>
              </w:rPr>
              <w:t xml:space="preserve">14、支持两种摄像球协议(Pelco-D波特率9600、VISCA波特率9600)，支持三种摄像机控制接口(RS232、RS422和RS485)；</w:t>
            </w:r>
            <w:r/>
          </w:p>
          <w:p>
            <w:pPr>
              <w:jc w:val="left"/>
              <w:rPr>
                <w:rFonts w:hint="eastAsia" w:ascii="宋体" w:hAnsi="宋体" w:cs="宋体"/>
                <w:color w:val="auto"/>
                <w:sz w:val="20"/>
                <w:szCs w:val="20"/>
              </w:rPr>
            </w:pPr>
            <w:r>
              <w:rPr>
                <w:rFonts w:hint="eastAsia" w:ascii="宋体" w:hAnsi="宋体" w:cs="宋体"/>
                <w:color w:val="auto"/>
                <w:sz w:val="20"/>
                <w:szCs w:val="20"/>
              </w:rPr>
              <w:t xml:space="preserve">15、支持48kH音频采样频率，通道频率响应可达20HZ-16KHZ；</w:t>
            </w:r>
            <w:r/>
          </w:p>
          <w:p>
            <w:pPr>
              <w:jc w:val="left"/>
              <w:rPr>
                <w:rFonts w:hint="eastAsia" w:ascii="宋体" w:hAnsi="宋体" w:cs="宋体"/>
                <w:color w:val="auto"/>
                <w:sz w:val="20"/>
                <w:szCs w:val="20"/>
              </w:rPr>
            </w:pPr>
            <w:r>
              <w:rPr>
                <w:rFonts w:hint="eastAsia" w:ascii="宋体" w:hAnsi="宋体" w:cs="宋体"/>
                <w:color w:val="auto"/>
                <w:sz w:val="20"/>
                <w:szCs w:val="20"/>
              </w:rPr>
              <w:t xml:space="preserve">16、主机可以集中调节会议单元的输出增益，并可设定设置音频调节锁定；                                                                                                                                        </w:t>
            </w:r>
            <w:r/>
          </w:p>
          <w:p>
            <w:pPr>
              <w:jc w:val="left"/>
              <w:rPr>
                <w:rFonts w:hint="eastAsia" w:ascii="宋体" w:hAnsi="宋体" w:cs="宋体"/>
                <w:color w:val="auto"/>
                <w:sz w:val="20"/>
                <w:szCs w:val="20"/>
              </w:rPr>
            </w:pPr>
            <w:r>
              <w:rPr>
                <w:rFonts w:hint="eastAsia" w:ascii="宋体" w:hAnsi="宋体" w:cs="宋体"/>
                <w:color w:val="auto"/>
                <w:sz w:val="20"/>
                <w:szCs w:val="20"/>
              </w:rPr>
              <w:t xml:space="preserve">17、具有DATA网络控制接口，控制网线可延长至1000米连接管理会议；</w:t>
            </w:r>
            <w:r/>
          </w:p>
          <w:p>
            <w:pPr>
              <w:jc w:val="left"/>
              <w:rPr>
                <w:rFonts w:hint="eastAsia" w:ascii="宋体" w:hAnsi="宋体" w:cs="宋体"/>
                <w:color w:val="auto"/>
                <w:sz w:val="20"/>
                <w:szCs w:val="20"/>
              </w:rPr>
            </w:pPr>
            <w:r>
              <w:rPr>
                <w:rFonts w:hint="eastAsia" w:ascii="宋体" w:hAnsi="宋体" w:cs="宋体"/>
                <w:color w:val="auto"/>
                <w:sz w:val="20"/>
                <w:szCs w:val="20"/>
              </w:rPr>
              <w:t xml:space="preserve">18、具备线路带电“热插拔”功能，让系统的安全性得到更大的保障；</w:t>
            </w:r>
            <w:r/>
          </w:p>
          <w:p>
            <w:pPr>
              <w:jc w:val="left"/>
              <w:rPr>
                <w:rFonts w:hint="eastAsia" w:ascii="宋体" w:hAnsi="宋体" w:cs="宋体"/>
                <w:color w:val="auto"/>
                <w:sz w:val="20"/>
                <w:szCs w:val="20"/>
              </w:rPr>
            </w:pPr>
            <w:r>
              <w:rPr>
                <w:rFonts w:hint="eastAsia" w:ascii="宋体" w:hAnsi="宋体" w:cs="宋体"/>
                <w:color w:val="auto"/>
                <w:sz w:val="20"/>
                <w:szCs w:val="20"/>
              </w:rPr>
              <w:t xml:space="preserve">19、系统可接入其它电容表克风或动圈寿克风，为用户提供更多选择；</w:t>
            </w:r>
            <w:r/>
          </w:p>
          <w:p>
            <w:pPr>
              <w:jc w:val="left"/>
              <w:rPr>
                <w:rFonts w:hint="eastAsia" w:ascii="宋体" w:hAnsi="宋体" w:cs="宋体"/>
                <w:color w:val="auto"/>
                <w:sz w:val="20"/>
                <w:szCs w:val="20"/>
              </w:rPr>
            </w:pPr>
            <w:r>
              <w:rPr>
                <w:rFonts w:hint="eastAsia" w:ascii="宋体" w:hAnsi="宋体" w:cs="宋体"/>
                <w:color w:val="auto"/>
                <w:sz w:val="20"/>
                <w:szCs w:val="20"/>
              </w:rPr>
              <w:t xml:space="preserve">20、4路话筒输出六芯单元每路可接驳不少于30个会议发言单元，单台主机可接驳不少于120个会议单元。4路话简输出网线单元每个接口可接驳不少于15个会议发言单元，单台主机可接驳不少于60个会议单元(可根据单元的功率大小和主缆线长度来定每路接驳数量);</w:t>
            </w:r>
            <w:r/>
          </w:p>
          <w:p>
            <w:pPr>
              <w:jc w:val="left"/>
              <w:rPr>
                <w:rFonts w:hint="eastAsia" w:ascii="宋体" w:hAnsi="宋体" w:cs="宋体"/>
                <w:color w:val="auto"/>
                <w:sz w:val="20"/>
                <w:szCs w:val="20"/>
              </w:rPr>
            </w:pPr>
            <w:r>
              <w:rPr>
                <w:rFonts w:hint="eastAsia" w:ascii="宋体" w:hAnsi="宋体" w:cs="宋体"/>
                <w:color w:val="auto"/>
                <w:sz w:val="20"/>
                <w:szCs w:val="20"/>
              </w:rPr>
              <w:t xml:space="preserve">21、级联多台扩展主机可挂载不少于255席表决单元或4096席发言单元同时进行会议；</w:t>
            </w:r>
            <w:r/>
          </w:p>
          <w:p>
            <w:pPr>
              <w:jc w:val="left"/>
              <w:rPr>
                <w:rFonts w:hint="eastAsia" w:ascii="宋体" w:hAnsi="宋体" w:cs="宋体"/>
                <w:color w:val="auto"/>
                <w:sz w:val="20"/>
                <w:szCs w:val="20"/>
              </w:rPr>
            </w:pPr>
            <w:r>
              <w:rPr>
                <w:rFonts w:hint="eastAsia" w:ascii="宋体" w:hAnsi="宋体" w:cs="宋体"/>
                <w:color w:val="auto"/>
                <w:sz w:val="20"/>
                <w:szCs w:val="20"/>
              </w:rPr>
              <w:t xml:space="preserve">22、具备“手拉手”连接和环路连接多种方式，便于安装和维护；                                                                                                                      </w:t>
            </w:r>
            <w:r/>
          </w:p>
          <w:p>
            <w:pPr>
              <w:jc w:val="left"/>
              <w:rPr>
                <w:rFonts w:hint="eastAsia" w:ascii="宋体" w:hAnsi="宋体" w:cs="宋体"/>
                <w:color w:val="auto"/>
                <w:sz w:val="20"/>
                <w:szCs w:val="20"/>
              </w:rPr>
            </w:pPr>
            <w:r>
              <w:rPr>
                <w:rFonts w:hint="eastAsia" w:ascii="宋体" w:hAnsi="宋体" w:cs="宋体"/>
                <w:color w:val="auto"/>
                <w:sz w:val="20"/>
                <w:szCs w:val="20"/>
              </w:rPr>
              <w:t xml:space="preserve">23、系统具备自动检测功能，可检测在线主席单元、VIP单元、代表单元数量，系统运行状态一目了然；</w:t>
            </w:r>
            <w:r/>
          </w:p>
          <w:p>
            <w:pPr>
              <w:jc w:val="left"/>
              <w:rPr>
                <w:rFonts w:hint="eastAsia" w:ascii="宋体" w:hAnsi="宋体" w:cs="宋体"/>
                <w:color w:val="auto"/>
                <w:sz w:val="20"/>
                <w:szCs w:val="20"/>
              </w:rPr>
            </w:pPr>
            <w:r>
              <w:rPr>
                <w:rFonts w:hint="eastAsia" w:ascii="宋体" w:hAnsi="宋体" w:cs="宋体"/>
                <w:color w:val="auto"/>
                <w:sz w:val="20"/>
                <w:szCs w:val="20"/>
              </w:rPr>
              <w:t xml:space="preserve">24、中控接口，PC接口，可实现管理软件、中控、触控屏、手机等设备控制指令；</w:t>
            </w:r>
            <w:r/>
          </w:p>
          <w:p>
            <w:pPr>
              <w:jc w:val="left"/>
              <w:rPr>
                <w:rFonts w:hint="eastAsia" w:ascii="宋体" w:hAnsi="宋体" w:cs="宋体"/>
                <w:color w:val="auto"/>
                <w:sz w:val="20"/>
                <w:szCs w:val="20"/>
              </w:rPr>
            </w:pPr>
            <w:r>
              <w:rPr>
                <w:rFonts w:hint="eastAsia" w:ascii="宋体" w:hAnsi="宋体" w:cs="宋体"/>
                <w:color w:val="auto"/>
                <w:sz w:val="20"/>
                <w:szCs w:val="20"/>
              </w:rPr>
              <w:t xml:space="preserve">25、配合电话耦合器可以进行远程电话会议；</w:t>
            </w:r>
            <w:r/>
          </w:p>
          <w:p>
            <w:pPr>
              <w:jc w:val="left"/>
              <w:rPr>
                <w:rFonts w:hint="eastAsia" w:ascii="宋体" w:hAnsi="宋体" w:cs="宋体"/>
                <w:color w:val="auto"/>
                <w:sz w:val="20"/>
                <w:szCs w:val="20"/>
              </w:rPr>
            </w:pPr>
            <w:r>
              <w:rPr>
                <w:rFonts w:hint="eastAsia" w:ascii="宋体" w:hAnsi="宋体" w:cs="宋体"/>
                <w:color w:val="auto"/>
                <w:sz w:val="20"/>
                <w:szCs w:val="20"/>
              </w:rPr>
              <w:t xml:space="preserve">26、配合网络会议软件及视频会议终端，可实现远程视频会议。</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数字会议系统主席单元</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1、采用先进、稳定的芯片，DSP数字会议技术，实现数字化信号传输与处理；</w:t>
            </w:r>
            <w:r/>
          </w:p>
          <w:p>
            <w:pPr>
              <w:jc w:val="left"/>
              <w:rPr>
                <w:rFonts w:hint="eastAsia" w:ascii="宋体" w:hAnsi="宋体" w:cs="宋体"/>
                <w:color w:val="auto"/>
                <w:sz w:val="20"/>
                <w:szCs w:val="20"/>
              </w:rPr>
            </w:pPr>
            <w:r>
              <w:rPr>
                <w:rFonts w:hint="eastAsia" w:ascii="宋体" w:hAnsi="宋体" w:cs="宋体"/>
                <w:color w:val="auto"/>
                <w:sz w:val="20"/>
                <w:szCs w:val="20"/>
              </w:rPr>
              <w:t xml:space="preserve">2、采用锌铝合金话筒杆，内置14毫米高保真镀金电容式拾音头，支持拾音头阵列技术；</w:t>
            </w:r>
            <w:r/>
          </w:p>
          <w:p>
            <w:pPr>
              <w:jc w:val="left"/>
              <w:rPr>
                <w:rFonts w:hint="eastAsia" w:ascii="宋体" w:hAnsi="宋体" w:cs="宋体"/>
                <w:color w:val="auto"/>
                <w:sz w:val="20"/>
                <w:szCs w:val="20"/>
              </w:rPr>
            </w:pPr>
            <w:r>
              <w:rPr>
                <w:rFonts w:hint="eastAsia" w:ascii="宋体" w:hAnsi="宋体" w:cs="宋体"/>
                <w:color w:val="auto"/>
                <w:sz w:val="20"/>
                <w:szCs w:val="20"/>
              </w:rPr>
              <w:t xml:space="preserve">3、独特腔体与一体成型拾音钢网设计，可精准控制拾音角度、避免声学反馈与啸叫；</w:t>
            </w:r>
            <w:r/>
          </w:p>
          <w:p>
            <w:pPr>
              <w:jc w:val="left"/>
              <w:rPr>
                <w:rFonts w:hint="eastAsia" w:ascii="宋体" w:hAnsi="宋体" w:cs="宋体"/>
                <w:color w:val="auto"/>
                <w:sz w:val="20"/>
                <w:szCs w:val="20"/>
              </w:rPr>
            </w:pPr>
            <w:r>
              <w:rPr>
                <w:rFonts w:hint="eastAsia" w:ascii="宋体" w:hAnsi="宋体" w:cs="宋体"/>
                <w:color w:val="auto"/>
                <w:sz w:val="20"/>
                <w:szCs w:val="20"/>
              </w:rPr>
              <w:t xml:space="preserve">4、咪杆采用高密度声干涉孔，精准计算孔径与间距，结合干涉校正技术精准控制拾音细节，有效提高人声频响范围拾音灵敏度；</w:t>
            </w:r>
            <w:r/>
          </w:p>
          <w:p>
            <w:pPr>
              <w:jc w:val="left"/>
              <w:rPr>
                <w:rFonts w:hint="eastAsia" w:ascii="宋体" w:hAnsi="宋体" w:cs="宋体"/>
                <w:color w:val="auto"/>
                <w:sz w:val="20"/>
                <w:szCs w:val="20"/>
              </w:rPr>
            </w:pPr>
            <w:r>
              <w:rPr>
                <w:rFonts w:hint="eastAsia" w:ascii="宋体" w:hAnsi="宋体" w:cs="宋体"/>
                <w:color w:val="auto"/>
                <w:sz w:val="20"/>
                <w:szCs w:val="20"/>
              </w:rPr>
              <w:t xml:space="preserve">5、高灵敏度设计，有效拾音距离不小于80cm；</w:t>
            </w:r>
            <w:r/>
          </w:p>
          <w:p>
            <w:pPr>
              <w:jc w:val="left"/>
              <w:rPr>
                <w:rFonts w:hint="eastAsia" w:ascii="宋体" w:hAnsi="宋体" w:cs="宋体"/>
                <w:color w:val="auto"/>
                <w:sz w:val="20"/>
                <w:szCs w:val="20"/>
              </w:rPr>
            </w:pPr>
            <w:r>
              <w:rPr>
                <w:rFonts w:hint="eastAsia" w:ascii="宋体" w:hAnsi="宋体" w:cs="宋体"/>
                <w:color w:val="auto"/>
                <w:sz w:val="20"/>
                <w:szCs w:val="20"/>
              </w:rPr>
              <w:t xml:space="preserve">6、采用触摸式话筒开关和触屏式触摸开关双重设计，开关时无机械按键声，使用寿命长；</w:t>
            </w:r>
            <w:r/>
          </w:p>
          <w:p>
            <w:pPr>
              <w:jc w:val="left"/>
              <w:rPr>
                <w:rFonts w:hint="eastAsia" w:ascii="宋体" w:hAnsi="宋体" w:cs="宋体"/>
                <w:color w:val="auto"/>
                <w:sz w:val="20"/>
                <w:szCs w:val="20"/>
              </w:rPr>
            </w:pPr>
            <w:r>
              <w:rPr>
                <w:rFonts w:hint="eastAsia" w:ascii="宋体" w:hAnsi="宋体" w:cs="宋体"/>
                <w:color w:val="auto"/>
                <w:sz w:val="20"/>
                <w:szCs w:val="20"/>
              </w:rPr>
              <w:t xml:space="preserve">7、全锌铝合金面板内嵌触控玻璃面板，配备≥4.1"高清IPS触控屏，可显示单位LOGO、发言时间、在线申请会议茶水服务、时钟、日期等信息；</w:t>
            </w:r>
            <w:r/>
          </w:p>
          <w:p>
            <w:pPr>
              <w:jc w:val="left"/>
              <w:rPr>
                <w:rFonts w:hint="eastAsia" w:ascii="宋体" w:hAnsi="宋体" w:cs="宋体"/>
                <w:color w:val="auto"/>
                <w:sz w:val="20"/>
                <w:szCs w:val="20"/>
              </w:rPr>
            </w:pPr>
            <w:r>
              <w:rPr>
                <w:rFonts w:hint="eastAsia" w:ascii="宋体" w:hAnsi="宋体" w:cs="宋体"/>
                <w:color w:val="auto"/>
                <w:sz w:val="20"/>
                <w:szCs w:val="20"/>
              </w:rPr>
              <w:t xml:space="preserve">8、具备发言计时功能，支持发言时间动态显示，可设定可发言倒计时间；</w:t>
            </w:r>
            <w:r/>
          </w:p>
          <w:p>
            <w:pPr>
              <w:jc w:val="left"/>
              <w:rPr>
                <w:rFonts w:hint="eastAsia" w:ascii="宋体" w:hAnsi="宋体" w:cs="宋体"/>
                <w:color w:val="auto"/>
                <w:sz w:val="20"/>
                <w:szCs w:val="20"/>
              </w:rPr>
            </w:pPr>
            <w:r>
              <w:rPr>
                <w:rFonts w:hint="eastAsia" w:ascii="宋体" w:hAnsi="宋体" w:cs="宋体"/>
                <w:color w:val="auto"/>
                <w:sz w:val="20"/>
                <w:szCs w:val="20"/>
              </w:rPr>
              <w:t xml:space="preserve">9、高保真无损音频传输技术，拾音灵敏、语音清晰，频率响应可达60Hz-18KHz。</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数字会议系统代表单元</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1、采用先进、稳定的芯片，DSP数字会议技术，实现数字化信号传输与处理；</w:t>
            </w:r>
            <w:r/>
          </w:p>
          <w:p>
            <w:pPr>
              <w:jc w:val="left"/>
              <w:rPr>
                <w:rFonts w:hint="eastAsia" w:ascii="宋体" w:hAnsi="宋体" w:cs="宋体"/>
                <w:color w:val="auto"/>
                <w:sz w:val="20"/>
                <w:szCs w:val="20"/>
              </w:rPr>
            </w:pPr>
            <w:r>
              <w:rPr>
                <w:rFonts w:hint="eastAsia" w:ascii="宋体" w:hAnsi="宋体" w:cs="宋体"/>
                <w:color w:val="auto"/>
                <w:sz w:val="20"/>
                <w:szCs w:val="20"/>
              </w:rPr>
              <w:t xml:space="preserve">2、采用锌铝合金话筒杆，内置14毫米高保真镀金电容式拾音头，支持拾音头阵列技术；</w:t>
            </w:r>
            <w:r/>
          </w:p>
          <w:p>
            <w:pPr>
              <w:jc w:val="left"/>
              <w:rPr>
                <w:rFonts w:hint="eastAsia" w:ascii="宋体" w:hAnsi="宋体" w:cs="宋体"/>
                <w:color w:val="auto"/>
                <w:sz w:val="20"/>
                <w:szCs w:val="20"/>
              </w:rPr>
            </w:pPr>
            <w:r>
              <w:rPr>
                <w:rFonts w:hint="eastAsia" w:ascii="宋体" w:hAnsi="宋体" w:cs="宋体"/>
                <w:color w:val="auto"/>
                <w:sz w:val="20"/>
                <w:szCs w:val="20"/>
              </w:rPr>
              <w:t xml:space="preserve">3、独特腔体与一体成型拾音钢网设计，可精准控制拾音角度、避免声学反馈与啸叫；</w:t>
            </w:r>
            <w:r/>
          </w:p>
          <w:p>
            <w:pPr>
              <w:jc w:val="left"/>
              <w:rPr>
                <w:rFonts w:hint="eastAsia" w:ascii="宋体" w:hAnsi="宋体" w:cs="宋体"/>
                <w:color w:val="auto"/>
                <w:sz w:val="20"/>
                <w:szCs w:val="20"/>
              </w:rPr>
            </w:pPr>
            <w:r>
              <w:rPr>
                <w:rFonts w:hint="eastAsia" w:ascii="宋体" w:hAnsi="宋体" w:cs="宋体"/>
                <w:color w:val="auto"/>
                <w:sz w:val="20"/>
                <w:szCs w:val="20"/>
              </w:rPr>
              <w:t xml:space="preserve">4、咪杆采用高密度声干涉孔，精准计算孔径与间距，结合干涉校正技术精准控制拾音细节，有效提高人声频响范围拾音灵敏度；</w:t>
            </w:r>
            <w:r/>
          </w:p>
          <w:p>
            <w:pPr>
              <w:jc w:val="left"/>
              <w:rPr>
                <w:rFonts w:hint="eastAsia" w:ascii="宋体" w:hAnsi="宋体" w:cs="宋体"/>
                <w:color w:val="auto"/>
                <w:sz w:val="20"/>
                <w:szCs w:val="20"/>
              </w:rPr>
            </w:pPr>
            <w:r>
              <w:rPr>
                <w:rFonts w:hint="eastAsia" w:ascii="宋体" w:hAnsi="宋体" w:cs="宋体"/>
                <w:color w:val="auto"/>
                <w:sz w:val="20"/>
                <w:szCs w:val="20"/>
              </w:rPr>
              <w:t xml:space="preserve">5、高灵敏度设计，有效拾音距离不小于80cm；</w:t>
            </w:r>
            <w:r/>
          </w:p>
          <w:p>
            <w:pPr>
              <w:jc w:val="left"/>
              <w:rPr>
                <w:rFonts w:hint="eastAsia" w:ascii="宋体" w:hAnsi="宋体" w:cs="宋体"/>
                <w:color w:val="auto"/>
                <w:sz w:val="20"/>
                <w:szCs w:val="20"/>
              </w:rPr>
            </w:pPr>
            <w:r>
              <w:rPr>
                <w:rFonts w:hint="eastAsia" w:ascii="宋体" w:hAnsi="宋体" w:cs="宋体"/>
                <w:color w:val="auto"/>
                <w:sz w:val="20"/>
                <w:szCs w:val="20"/>
              </w:rPr>
              <w:t xml:space="preserve">6、采用触摸式话筒开关和触屏式触摸开关双重设计，开关时无机械按键声，使用寿命长；</w:t>
            </w:r>
            <w:r/>
          </w:p>
          <w:p>
            <w:pPr>
              <w:jc w:val="left"/>
              <w:rPr>
                <w:rFonts w:hint="eastAsia" w:ascii="宋体" w:hAnsi="宋体" w:cs="宋体"/>
                <w:color w:val="auto"/>
                <w:sz w:val="20"/>
                <w:szCs w:val="20"/>
              </w:rPr>
            </w:pPr>
            <w:r>
              <w:rPr>
                <w:rFonts w:hint="eastAsia" w:ascii="宋体" w:hAnsi="宋体" w:cs="宋体"/>
                <w:color w:val="auto"/>
                <w:sz w:val="20"/>
                <w:szCs w:val="20"/>
              </w:rPr>
              <w:t xml:space="preserve">7、全锌铝合金面板内嵌触控玻璃面板，配备≥4.1"高清IPS触控屏，可显示单位LOGO、发言时间、在线申请会议茶水服务、时钟、日期等信息；</w:t>
            </w:r>
            <w:r/>
          </w:p>
          <w:p>
            <w:pPr>
              <w:jc w:val="left"/>
              <w:rPr>
                <w:rFonts w:hint="eastAsia" w:ascii="宋体" w:hAnsi="宋体" w:cs="宋体"/>
                <w:color w:val="auto"/>
                <w:sz w:val="20"/>
                <w:szCs w:val="20"/>
              </w:rPr>
            </w:pPr>
            <w:r>
              <w:rPr>
                <w:rFonts w:hint="eastAsia" w:ascii="宋体" w:hAnsi="宋体" w:cs="宋体"/>
                <w:color w:val="auto"/>
                <w:sz w:val="20"/>
                <w:szCs w:val="20"/>
              </w:rPr>
              <w:t xml:space="preserve">8、具备发言计时功能，支持发言时间动态显示，可设定可发言倒计时间；</w:t>
            </w:r>
            <w:r/>
          </w:p>
          <w:p>
            <w:pPr>
              <w:jc w:val="left"/>
              <w:rPr>
                <w:rFonts w:hint="eastAsia" w:ascii="宋体" w:hAnsi="宋体" w:cs="宋体"/>
                <w:color w:val="auto"/>
                <w:sz w:val="20"/>
                <w:szCs w:val="20"/>
              </w:rPr>
            </w:pPr>
            <w:r>
              <w:rPr>
                <w:rFonts w:hint="eastAsia" w:ascii="宋体" w:hAnsi="宋体" w:cs="宋体"/>
                <w:color w:val="auto"/>
                <w:sz w:val="20"/>
                <w:szCs w:val="20"/>
              </w:rPr>
              <w:t xml:space="preserve">9、高保真无损音频传输技术，拾音灵敏、语音清晰，频率响应可达60Hz-18KHz；</w:t>
            </w:r>
            <w:r/>
          </w:p>
          <w:p>
            <w:pPr>
              <w:jc w:val="left"/>
              <w:rPr>
                <w:rFonts w:hint="eastAsia" w:ascii="宋体" w:hAnsi="宋体" w:cs="宋体"/>
                <w:color w:val="auto"/>
                <w:sz w:val="20"/>
                <w:szCs w:val="20"/>
              </w:rPr>
            </w:pPr>
            <w:r>
              <w:rPr>
                <w:rFonts w:hint="eastAsia" w:ascii="宋体" w:hAnsi="宋体" w:cs="宋体"/>
                <w:color w:val="auto"/>
                <w:sz w:val="20"/>
                <w:szCs w:val="20"/>
              </w:rPr>
              <w:t xml:space="preserve">10、咪管具有指示灯，发言状态常亮、编号状态时为闪烁；</w:t>
            </w:r>
            <w:r/>
          </w:p>
          <w:p>
            <w:pPr>
              <w:jc w:val="left"/>
              <w:rPr>
                <w:rFonts w:hint="eastAsia" w:ascii="宋体" w:hAnsi="宋体" w:cs="宋体"/>
                <w:color w:val="auto"/>
                <w:sz w:val="20"/>
                <w:szCs w:val="20"/>
              </w:rPr>
            </w:pPr>
            <w:r>
              <w:rPr>
                <w:rFonts w:hint="eastAsia" w:ascii="宋体" w:hAnsi="宋体" w:cs="宋体"/>
                <w:color w:val="auto"/>
                <w:sz w:val="20"/>
                <w:szCs w:val="20"/>
              </w:rPr>
              <w:t xml:space="preserve">11、具备智能音频检测功能，当相邻两台单元距离靠近时，音频自动反相衰减保证不出现啸叫；</w:t>
            </w:r>
            <w:r/>
          </w:p>
          <w:p>
            <w:pPr>
              <w:jc w:val="left"/>
              <w:rPr>
                <w:rFonts w:hint="eastAsia" w:ascii="宋体" w:hAnsi="宋体" w:cs="宋体"/>
                <w:color w:val="auto"/>
                <w:sz w:val="20"/>
                <w:szCs w:val="20"/>
              </w:rPr>
            </w:pPr>
            <w:r>
              <w:rPr>
                <w:rFonts w:hint="eastAsia" w:ascii="宋体" w:hAnsi="宋体" w:cs="宋体"/>
                <w:color w:val="auto"/>
                <w:sz w:val="20"/>
                <w:szCs w:val="20"/>
              </w:rPr>
              <w:t xml:space="preserve">12、单元由系统主机供电，输入电压为DC24V，属于安全范围；</w:t>
            </w:r>
            <w:r/>
          </w:p>
          <w:p>
            <w:pPr>
              <w:jc w:val="left"/>
              <w:rPr>
                <w:rFonts w:hint="eastAsia" w:ascii="宋体" w:hAnsi="宋体" w:cs="宋体"/>
                <w:color w:val="auto"/>
                <w:sz w:val="20"/>
                <w:szCs w:val="20"/>
              </w:rPr>
            </w:pPr>
            <w:r>
              <w:rPr>
                <w:rFonts w:hint="eastAsia" w:ascii="宋体" w:hAnsi="宋体" w:cs="宋体"/>
                <w:color w:val="auto"/>
                <w:sz w:val="20"/>
                <w:szCs w:val="20"/>
              </w:rPr>
              <w:t xml:space="preserve">13、具有6芯T型线手拉手连接，支持环形回路备份连接；</w:t>
            </w:r>
            <w:r/>
          </w:p>
          <w:p>
            <w:pPr>
              <w:jc w:val="left"/>
              <w:rPr>
                <w:rFonts w:hint="eastAsia" w:ascii="宋体" w:hAnsi="宋体" w:cs="宋体"/>
                <w:color w:val="auto"/>
                <w:sz w:val="20"/>
                <w:szCs w:val="20"/>
              </w:rPr>
            </w:pPr>
            <w:r>
              <w:rPr>
                <w:rFonts w:hint="eastAsia" w:ascii="宋体" w:hAnsi="宋体" w:cs="宋体"/>
                <w:color w:val="auto"/>
                <w:sz w:val="20"/>
                <w:szCs w:val="20"/>
              </w:rPr>
              <w:t xml:space="preserve">14、“总线手拉手”连接技术，一台单元机或多台出现故障或更换不会影响到系统中其它单元机的工作，从而使系统具有更高可靠性；</w:t>
            </w:r>
            <w:r/>
          </w:p>
          <w:p>
            <w:pPr>
              <w:jc w:val="left"/>
              <w:rPr>
                <w:rFonts w:hint="eastAsia" w:ascii="宋体" w:hAnsi="宋体" w:cs="宋体"/>
                <w:color w:val="auto"/>
                <w:sz w:val="20"/>
                <w:szCs w:val="20"/>
              </w:rPr>
            </w:pPr>
            <w:r>
              <w:rPr>
                <w:rFonts w:hint="eastAsia" w:ascii="宋体" w:hAnsi="宋体" w:cs="宋体"/>
                <w:color w:val="auto"/>
                <w:sz w:val="20"/>
                <w:szCs w:val="20"/>
              </w:rPr>
              <w:t xml:space="preserve">15、支持数量限制、八种会议模式:自由模式、轮替模式、限制模式、申请模式、计时模式、声控模式、PTT模式、VIP模式；</w:t>
            </w:r>
            <w:r/>
          </w:p>
          <w:p>
            <w:pPr>
              <w:jc w:val="left"/>
              <w:rPr>
                <w:rFonts w:hint="eastAsia" w:ascii="宋体" w:hAnsi="宋体" w:cs="宋体"/>
                <w:color w:val="auto"/>
                <w:sz w:val="20"/>
                <w:szCs w:val="20"/>
              </w:rPr>
            </w:pPr>
            <w:r>
              <w:rPr>
                <w:rFonts w:hint="eastAsia" w:ascii="宋体" w:hAnsi="宋体" w:cs="宋体"/>
                <w:color w:val="auto"/>
                <w:sz w:val="20"/>
                <w:szCs w:val="20"/>
              </w:rPr>
              <w:t xml:space="preserve">16、发言人数可设置为1/2/3/4/5/6/7/8/9个，主席和VIP不受数量限制，自由讨论模式不受限制可全部打开。</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6芯20米延长电缆</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1、用于数字会议单元与会议单元之间延长连接；                    </w:t>
            </w:r>
            <w:r/>
          </w:p>
          <w:p>
            <w:pPr>
              <w:jc w:val="left"/>
              <w:rPr>
                <w:rFonts w:hint="eastAsia" w:ascii="宋体" w:hAnsi="宋体" w:cs="宋体"/>
                <w:color w:val="auto"/>
                <w:sz w:val="20"/>
                <w:szCs w:val="20"/>
              </w:rPr>
            </w:pPr>
            <w:r>
              <w:rPr>
                <w:rFonts w:hint="eastAsia" w:ascii="宋体" w:hAnsi="宋体" w:cs="宋体"/>
                <w:color w:val="auto"/>
                <w:sz w:val="20"/>
                <w:szCs w:val="20"/>
              </w:rPr>
              <w:t xml:space="preserve">2、具备6P-DIN公头×1、母头×1；不少于20米。</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12路调音台</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1、不少于6个话筒/12个线路输入 （4个单声道 + 4个立体声）,2编组母线+1立体声母线,2AUX；</w:t>
            </w:r>
            <w:r/>
          </w:p>
          <w:p>
            <w:pPr>
              <w:jc w:val="left"/>
              <w:rPr>
                <w:rFonts w:hint="eastAsia" w:ascii="宋体" w:hAnsi="宋体" w:cs="宋体"/>
                <w:color w:val="auto"/>
                <w:sz w:val="20"/>
                <w:szCs w:val="20"/>
              </w:rPr>
            </w:pPr>
            <w:r>
              <w:rPr>
                <w:rFonts w:hint="eastAsia" w:ascii="宋体" w:hAnsi="宋体" w:cs="宋体"/>
                <w:color w:val="auto"/>
                <w:sz w:val="20"/>
                <w:szCs w:val="20"/>
              </w:rPr>
              <w:t xml:space="preserve">2、单旋钮压缩器；</w:t>
            </w:r>
            <w:r/>
          </w:p>
          <w:p>
            <w:pPr>
              <w:jc w:val="left"/>
              <w:rPr>
                <w:rFonts w:hint="eastAsia" w:ascii="宋体" w:hAnsi="宋体" w:cs="宋体"/>
                <w:color w:val="auto"/>
                <w:sz w:val="20"/>
                <w:szCs w:val="20"/>
              </w:rPr>
            </w:pPr>
            <w:r>
              <w:rPr>
                <w:rFonts w:hint="eastAsia" w:ascii="宋体" w:hAnsi="宋体" w:cs="宋体"/>
                <w:color w:val="auto"/>
                <w:sz w:val="20"/>
                <w:szCs w:val="20"/>
              </w:rPr>
              <w:t xml:space="preserve">3、+48V幻象供电。</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16路调音台</w:t>
            </w:r>
            <w:r/>
          </w:p>
        </w:tc>
        <w:tc>
          <w:tcPr>
            <w:tcW w:w="7696" w:type="dxa"/>
            <w:vAlign w:val="center"/>
            <w:textDirection w:val="lrTb"/>
            <w:noWrap w:val="false"/>
          </w:tcPr>
          <w:p>
            <w:pPr>
              <w:numPr>
                <w:ilvl w:val="0"/>
                <w:numId w:val="7"/>
              </w:numPr>
              <w:jc w:val="left"/>
              <w:rPr>
                <w:rFonts w:hint="eastAsia" w:ascii="宋体" w:hAnsi="宋体" w:cs="宋体"/>
                <w:color w:val="auto"/>
                <w:sz w:val="20"/>
                <w:szCs w:val="20"/>
              </w:rPr>
            </w:pPr>
            <w:r>
              <w:rPr>
                <w:rFonts w:hint="eastAsia" w:ascii="宋体" w:hAnsi="宋体" w:cs="宋体"/>
                <w:color w:val="auto"/>
                <w:sz w:val="20"/>
                <w:szCs w:val="20"/>
              </w:rPr>
              <w:t xml:space="preserve">不少于10个话筒/16个线路输入 （8个单声道 + 4个立体声）,4编组母线+1立体声母线,4AUX；</w:t>
            </w:r>
            <w:r/>
          </w:p>
          <w:p>
            <w:pPr>
              <w:numPr>
                <w:ilvl w:val="0"/>
                <w:numId w:val="7"/>
              </w:numPr>
              <w:jc w:val="left"/>
              <w:rPr>
                <w:rFonts w:hint="eastAsia" w:ascii="宋体" w:hAnsi="宋体" w:cs="宋体"/>
                <w:color w:val="auto"/>
                <w:sz w:val="20"/>
                <w:szCs w:val="20"/>
              </w:rPr>
            </w:pPr>
            <w:r>
              <w:rPr>
                <w:rFonts w:hint="eastAsia" w:ascii="宋体" w:hAnsi="宋体" w:cs="宋体"/>
                <w:color w:val="auto"/>
                <w:sz w:val="20"/>
                <w:szCs w:val="20"/>
              </w:rPr>
              <w:t xml:space="preserve">2、单旋钮压缩器；</w:t>
            </w:r>
            <w:r/>
          </w:p>
          <w:p>
            <w:pPr>
              <w:jc w:val="left"/>
              <w:rPr>
                <w:rFonts w:hint="eastAsia" w:ascii="宋体" w:hAnsi="宋体" w:cs="宋体"/>
                <w:color w:val="auto"/>
                <w:sz w:val="20"/>
                <w:szCs w:val="20"/>
              </w:rPr>
            </w:pPr>
            <w:r>
              <w:rPr>
                <w:rFonts w:hint="eastAsia" w:ascii="宋体" w:hAnsi="宋体" w:cs="宋体"/>
                <w:color w:val="auto"/>
                <w:sz w:val="20"/>
                <w:szCs w:val="20"/>
              </w:rPr>
              <w:t xml:space="preserve">3、+48V幻象供电。</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数字音频处理器</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1、可视化反馈啸叫显示功能，有效抑制更多啸叫点的形成；</w:t>
            </w:r>
            <w:r/>
          </w:p>
          <w:p>
            <w:pPr>
              <w:jc w:val="left"/>
              <w:rPr>
                <w:rFonts w:hint="eastAsia" w:ascii="宋体" w:hAnsi="宋体" w:cs="宋体"/>
                <w:color w:val="auto"/>
                <w:sz w:val="20"/>
                <w:szCs w:val="20"/>
              </w:rPr>
            </w:pPr>
            <w:r>
              <w:rPr>
                <w:rFonts w:hint="eastAsia" w:ascii="宋体" w:hAnsi="宋体" w:cs="宋体"/>
                <w:color w:val="auto"/>
                <w:sz w:val="20"/>
                <w:szCs w:val="20"/>
              </w:rPr>
              <w:t xml:space="preserve">2、内置中控代码生成器，无需自行套用公式编辑代码；</w:t>
            </w:r>
            <w:r/>
          </w:p>
          <w:p>
            <w:pPr>
              <w:jc w:val="left"/>
              <w:rPr>
                <w:rFonts w:hint="eastAsia" w:ascii="宋体" w:hAnsi="宋体" w:cs="宋体"/>
                <w:color w:val="auto"/>
                <w:sz w:val="20"/>
                <w:szCs w:val="20"/>
              </w:rPr>
            </w:pPr>
            <w:r>
              <w:rPr>
                <w:rFonts w:hint="eastAsia" w:ascii="宋体" w:hAnsi="宋体" w:cs="宋体"/>
                <w:color w:val="auto"/>
                <w:sz w:val="20"/>
                <w:szCs w:val="20"/>
              </w:rPr>
              <w:t xml:space="preserve">3、全功能矩阵混音功能，内置分量式矩阵调节功能；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4、内置双DSP芯片工作，使系统更加稳定可靠；</w:t>
            </w:r>
            <w:r/>
          </w:p>
          <w:p>
            <w:pPr>
              <w:jc w:val="left"/>
              <w:rPr>
                <w:rFonts w:hint="eastAsia" w:ascii="宋体" w:hAnsi="宋体" w:cs="宋体"/>
                <w:color w:val="auto"/>
                <w:sz w:val="20"/>
                <w:szCs w:val="20"/>
              </w:rPr>
            </w:pPr>
            <w:r>
              <w:rPr>
                <w:rFonts w:hint="eastAsia" w:ascii="宋体" w:hAnsi="宋体" w:cs="宋体"/>
                <w:color w:val="auto"/>
                <w:sz w:val="20"/>
                <w:szCs w:val="20"/>
              </w:rPr>
              <w:t xml:space="preserve">5、支持PC、中控平台、按键面板、触摸面板等方式进行多重控制；</w:t>
            </w:r>
            <w:r/>
          </w:p>
          <w:p>
            <w:pPr>
              <w:jc w:val="left"/>
              <w:rPr>
                <w:rFonts w:hint="eastAsia" w:ascii="宋体" w:hAnsi="宋体" w:cs="宋体"/>
                <w:color w:val="auto"/>
                <w:sz w:val="20"/>
                <w:szCs w:val="20"/>
              </w:rPr>
            </w:pPr>
            <w:r>
              <w:rPr>
                <w:rFonts w:hint="eastAsia" w:ascii="宋体" w:hAnsi="宋体" w:cs="宋体"/>
                <w:color w:val="auto"/>
                <w:sz w:val="20"/>
                <w:szCs w:val="20"/>
              </w:rPr>
              <w:t xml:space="preserve">6、不少于8路平衡式话筒\线路输入，采用凤凰插接口；</w:t>
            </w:r>
            <w:r/>
          </w:p>
          <w:p>
            <w:pPr>
              <w:jc w:val="left"/>
              <w:rPr>
                <w:rFonts w:hint="eastAsia" w:ascii="宋体" w:hAnsi="宋体" w:cs="宋体"/>
                <w:color w:val="auto"/>
                <w:sz w:val="20"/>
                <w:szCs w:val="20"/>
              </w:rPr>
            </w:pPr>
            <w:r>
              <w:rPr>
                <w:rFonts w:hint="eastAsia" w:ascii="宋体" w:hAnsi="宋体" w:cs="宋体"/>
                <w:color w:val="auto"/>
                <w:sz w:val="20"/>
                <w:szCs w:val="20"/>
              </w:rPr>
              <w:t xml:space="preserve">7、不少于8路平衡式输出，采用凤凰插接口；</w:t>
            </w:r>
            <w:r/>
          </w:p>
          <w:p>
            <w:pPr>
              <w:jc w:val="left"/>
              <w:rPr>
                <w:rFonts w:hint="eastAsia" w:ascii="宋体" w:hAnsi="宋体" w:cs="宋体"/>
                <w:color w:val="auto"/>
                <w:sz w:val="20"/>
                <w:szCs w:val="20"/>
              </w:rPr>
            </w:pPr>
            <w:r>
              <w:rPr>
                <w:rFonts w:hint="eastAsia" w:ascii="宋体" w:hAnsi="宋体" w:cs="宋体"/>
                <w:color w:val="auto"/>
                <w:sz w:val="20"/>
                <w:szCs w:val="20"/>
              </w:rPr>
              <w:t xml:space="preserve">8、面板上支持多种音频格式的立体声播放，可扩展USB多媒体存储录制功能；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9、内置信号发生器、自动混音（AM）、自动增益控制（AGC）、反馈消除（AFC）、回声消除（AEC）、噪声消除（ANC）等主要算法；</w:t>
            </w:r>
            <w:r/>
          </w:p>
          <w:p>
            <w:pPr>
              <w:jc w:val="left"/>
              <w:rPr>
                <w:rFonts w:hint="eastAsia" w:ascii="宋体" w:hAnsi="宋体" w:cs="宋体"/>
                <w:color w:val="auto"/>
                <w:sz w:val="20"/>
                <w:szCs w:val="20"/>
              </w:rPr>
            </w:pPr>
            <w:r>
              <w:rPr>
                <w:rFonts w:hint="eastAsia" w:ascii="宋体" w:hAnsi="宋体" w:cs="宋体"/>
                <w:color w:val="auto"/>
                <w:sz w:val="20"/>
                <w:szCs w:val="20"/>
              </w:rPr>
              <w:t xml:space="preserve">10、输入每通道：前级放大、信号发生器、扩展器、压缩器、5段参量均衡；</w:t>
            </w:r>
            <w:r/>
          </w:p>
          <w:p>
            <w:pPr>
              <w:jc w:val="left"/>
              <w:rPr>
                <w:rFonts w:hint="eastAsia" w:ascii="宋体" w:hAnsi="宋体" w:cs="宋体"/>
                <w:color w:val="auto"/>
                <w:sz w:val="20"/>
                <w:szCs w:val="20"/>
              </w:rPr>
            </w:pPr>
            <w:r>
              <w:rPr>
                <w:rFonts w:hint="eastAsia" w:ascii="宋体" w:hAnsi="宋体" w:cs="宋体"/>
                <w:color w:val="auto"/>
                <w:sz w:val="20"/>
                <w:szCs w:val="20"/>
              </w:rPr>
              <w:t xml:space="preserve">11、输出每通道：31段图示均衡及8段全参量均衡切换选择、延时器、分频器、限幅器；</w:t>
            </w:r>
            <w:r/>
          </w:p>
          <w:p>
            <w:pPr>
              <w:jc w:val="left"/>
              <w:rPr>
                <w:rFonts w:hint="eastAsia" w:ascii="宋体" w:hAnsi="宋体" w:cs="宋体"/>
                <w:color w:val="auto"/>
                <w:sz w:val="20"/>
                <w:szCs w:val="20"/>
              </w:rPr>
            </w:pPr>
            <w:r>
              <w:rPr>
                <w:rFonts w:hint="eastAsia" w:ascii="宋体" w:hAnsi="宋体" w:cs="宋体"/>
                <w:color w:val="auto"/>
                <w:sz w:val="20"/>
                <w:szCs w:val="20"/>
              </w:rPr>
              <w:t xml:space="preserve">12、内置自动摄像跟踪功能，轻松实现视频会议，支持场景预设功能，断电自动保护记忆功能；</w:t>
            </w:r>
            <w:r/>
          </w:p>
          <w:p>
            <w:pPr>
              <w:jc w:val="left"/>
              <w:rPr>
                <w:rFonts w:hint="eastAsia" w:ascii="宋体" w:hAnsi="宋体" w:cs="宋体"/>
                <w:color w:val="auto"/>
                <w:sz w:val="20"/>
                <w:szCs w:val="20"/>
              </w:rPr>
            </w:pPr>
            <w:r>
              <w:rPr>
                <w:rFonts w:hint="eastAsia" w:ascii="宋体" w:hAnsi="宋体" w:cs="宋体"/>
                <w:color w:val="auto"/>
                <w:sz w:val="20"/>
                <w:szCs w:val="20"/>
              </w:rPr>
              <w:t xml:space="preserve">13、具有专业音频处理模块，如5段全参量均衡器，31段图示均衡器，高精准压缩及限幅器，高灵敏扩展及自动增益，分频器，自动混音器，延时器，矩阵混音器，分量矩阵调节器，噪声门限，静音模块，信号发生器和信号指示电平表等。</w:t>
            </w:r>
            <w:r/>
          </w:p>
        </w:tc>
      </w:tr>
      <w:tr>
        <w:trPr>
          <w:cantSplit/>
          <w:trHeight w:val="261"/>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79</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反馈抑制器</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1、≥2寸液晶真彩显示，中英文可选；</w:t>
            </w:r>
            <w:r/>
          </w:p>
          <w:p>
            <w:pPr>
              <w:jc w:val="left"/>
              <w:rPr>
                <w:rFonts w:hint="eastAsia" w:ascii="宋体" w:hAnsi="宋体" w:cs="宋体"/>
                <w:color w:val="auto"/>
                <w:sz w:val="20"/>
                <w:szCs w:val="20"/>
              </w:rPr>
            </w:pPr>
            <w:r>
              <w:rPr>
                <w:rFonts w:hint="eastAsia" w:ascii="宋体" w:hAnsi="宋体" w:cs="宋体"/>
                <w:color w:val="auto"/>
                <w:sz w:val="20"/>
                <w:szCs w:val="20"/>
              </w:rPr>
              <w:t xml:space="preserve">2、24BIT高性能A/D及D/A转换；</w:t>
            </w:r>
            <w:r/>
          </w:p>
          <w:p>
            <w:pPr>
              <w:jc w:val="left"/>
              <w:rPr>
                <w:rFonts w:hint="eastAsia" w:ascii="宋体" w:hAnsi="宋体" w:cs="宋体"/>
                <w:color w:val="auto"/>
                <w:sz w:val="20"/>
                <w:szCs w:val="20"/>
              </w:rPr>
            </w:pPr>
            <w:r>
              <w:rPr>
                <w:rFonts w:hint="eastAsia" w:ascii="宋体" w:hAnsi="宋体" w:cs="宋体"/>
                <w:color w:val="auto"/>
                <w:sz w:val="20"/>
                <w:szCs w:val="20"/>
              </w:rPr>
              <w:t xml:space="preserve">3、双通道18点独立高速自动陷波，快速抑制啸叫点；</w:t>
            </w:r>
            <w:r/>
          </w:p>
          <w:p>
            <w:pPr>
              <w:jc w:val="left"/>
              <w:rPr>
                <w:rFonts w:hint="eastAsia" w:ascii="宋体" w:hAnsi="宋体" w:cs="宋体"/>
                <w:color w:val="auto"/>
                <w:sz w:val="20"/>
                <w:szCs w:val="20"/>
              </w:rPr>
            </w:pPr>
            <w:r>
              <w:rPr>
                <w:rFonts w:hint="eastAsia" w:ascii="宋体" w:hAnsi="宋体" w:cs="宋体"/>
                <w:color w:val="auto"/>
                <w:sz w:val="20"/>
                <w:szCs w:val="20"/>
              </w:rPr>
              <w:t xml:space="preserve">4、自动并可手动扫描啸叫点，对于啸叫点频率精确到1Hz，提升系统声压的同时保持完美音质；</w:t>
            </w:r>
            <w:r/>
          </w:p>
          <w:p>
            <w:pPr>
              <w:jc w:val="left"/>
              <w:rPr>
                <w:rFonts w:hint="eastAsia" w:ascii="宋体" w:hAnsi="宋体" w:cs="宋体"/>
                <w:color w:val="auto"/>
                <w:sz w:val="20"/>
                <w:szCs w:val="20"/>
              </w:rPr>
            </w:pPr>
            <w:r>
              <w:rPr>
                <w:rFonts w:hint="eastAsia" w:ascii="宋体" w:hAnsi="宋体" w:cs="宋体"/>
                <w:color w:val="auto"/>
                <w:sz w:val="20"/>
                <w:szCs w:val="20"/>
              </w:rPr>
              <w:t xml:space="preserve">5、个性化PC调试软件，USB免驱通迅方式；</w:t>
            </w:r>
            <w:r/>
          </w:p>
          <w:p>
            <w:pPr>
              <w:jc w:val="left"/>
              <w:rPr>
                <w:rFonts w:hint="eastAsia" w:ascii="宋体" w:hAnsi="宋体" w:cs="宋体"/>
                <w:color w:val="auto"/>
                <w:sz w:val="20"/>
                <w:szCs w:val="20"/>
              </w:rPr>
            </w:pPr>
            <w:r>
              <w:rPr>
                <w:rFonts w:hint="eastAsia" w:ascii="宋体" w:hAnsi="宋体" w:cs="宋体"/>
                <w:color w:val="auto"/>
                <w:sz w:val="20"/>
                <w:szCs w:val="20"/>
              </w:rPr>
              <w:t xml:space="preserve">6、噪声门功能可抑制系统微弱噪声干扰；</w:t>
            </w:r>
            <w:r/>
          </w:p>
          <w:p>
            <w:pPr>
              <w:jc w:val="left"/>
              <w:rPr>
                <w:rFonts w:hint="eastAsia" w:ascii="宋体" w:hAnsi="宋体" w:cs="宋体"/>
                <w:color w:val="auto"/>
                <w:sz w:val="20"/>
                <w:szCs w:val="20"/>
              </w:rPr>
            </w:pPr>
            <w:r>
              <w:rPr>
                <w:rFonts w:hint="eastAsia" w:ascii="宋体" w:hAnsi="宋体" w:cs="宋体"/>
                <w:color w:val="auto"/>
                <w:sz w:val="20"/>
                <w:szCs w:val="20"/>
              </w:rPr>
              <w:t xml:space="preserve">7、输入压缩功能，消除反馈同时更可扩展人声动态；</w:t>
            </w:r>
            <w:r/>
          </w:p>
          <w:p>
            <w:pPr>
              <w:jc w:val="left"/>
              <w:rPr>
                <w:rFonts w:hint="eastAsia" w:ascii="宋体" w:hAnsi="宋体" w:cs="宋体"/>
                <w:color w:val="auto"/>
                <w:sz w:val="20"/>
                <w:szCs w:val="20"/>
              </w:rPr>
            </w:pPr>
            <w:r>
              <w:rPr>
                <w:rFonts w:hint="eastAsia" w:ascii="宋体" w:hAnsi="宋体" w:cs="宋体"/>
                <w:color w:val="auto"/>
                <w:sz w:val="20"/>
                <w:szCs w:val="20"/>
              </w:rPr>
              <w:t xml:space="preserve">8、每通道增益-80dB到0dB；</w:t>
            </w:r>
            <w:r/>
          </w:p>
          <w:p>
            <w:pPr>
              <w:jc w:val="left"/>
              <w:rPr>
                <w:rFonts w:hint="eastAsia" w:ascii="宋体" w:hAnsi="宋体" w:cs="宋体"/>
                <w:color w:val="auto"/>
                <w:sz w:val="20"/>
                <w:szCs w:val="20"/>
              </w:rPr>
            </w:pPr>
            <w:r>
              <w:rPr>
                <w:rFonts w:hint="eastAsia" w:ascii="宋体" w:hAnsi="宋体" w:cs="宋体"/>
                <w:color w:val="auto"/>
                <w:sz w:val="20"/>
                <w:szCs w:val="20"/>
              </w:rPr>
              <w:t xml:space="preserve">9、本机设有移频工作模式，配合陷波器使用；</w:t>
            </w:r>
            <w:r/>
          </w:p>
          <w:p>
            <w:pPr>
              <w:jc w:val="left"/>
              <w:rPr>
                <w:rFonts w:hint="eastAsia" w:ascii="宋体" w:hAnsi="宋体" w:cs="宋体"/>
                <w:color w:val="auto"/>
                <w:sz w:val="20"/>
                <w:szCs w:val="20"/>
              </w:rPr>
            </w:pPr>
            <w:r>
              <w:rPr>
                <w:rFonts w:hint="eastAsia" w:ascii="宋体" w:hAnsi="宋体" w:cs="宋体"/>
                <w:color w:val="auto"/>
                <w:sz w:val="20"/>
                <w:szCs w:val="20"/>
              </w:rPr>
              <w:t xml:space="preserve">10、面板锁功能，开机后能对机器进行限制调节。</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线性音柱音箱</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1、系统类型：不低于8单元密闭式全频箱，8x4"全频驱动器；</w:t>
            </w:r>
            <w:r/>
          </w:p>
          <w:p>
            <w:pPr>
              <w:jc w:val="left"/>
              <w:rPr>
                <w:rFonts w:hint="eastAsia" w:ascii="宋体" w:hAnsi="宋体" w:cs="宋体"/>
                <w:color w:val="auto"/>
                <w:sz w:val="20"/>
                <w:szCs w:val="20"/>
              </w:rPr>
            </w:pPr>
            <w:r>
              <w:rPr>
                <w:rFonts w:hint="eastAsia" w:ascii="宋体" w:hAnsi="宋体" w:cs="宋体"/>
                <w:color w:val="auto"/>
                <w:sz w:val="20"/>
                <w:szCs w:val="20"/>
              </w:rPr>
              <w:t xml:space="preserve">2、额定功率：不低于300W，最大功率：不低于600W，峰值功率：不低于1200W；</w:t>
            </w:r>
            <w:r/>
          </w:p>
          <w:p>
            <w:pPr>
              <w:jc w:val="left"/>
              <w:rPr>
                <w:rFonts w:hint="eastAsia" w:ascii="宋体" w:hAnsi="宋体" w:cs="宋体"/>
                <w:color w:val="auto"/>
                <w:sz w:val="20"/>
                <w:szCs w:val="20"/>
              </w:rPr>
            </w:pPr>
            <w:r>
              <w:rPr>
                <w:rFonts w:hint="eastAsia" w:ascii="宋体" w:hAnsi="宋体" w:cs="宋体"/>
                <w:color w:val="auto"/>
                <w:sz w:val="20"/>
                <w:szCs w:val="20"/>
              </w:rPr>
              <w:t xml:space="preserve">3、标称灵敏度（1W@1m）：不低于102dB；</w:t>
            </w:r>
            <w:r/>
          </w:p>
          <w:p>
            <w:pPr>
              <w:jc w:val="left"/>
              <w:rPr>
                <w:rFonts w:hint="eastAsia" w:ascii="宋体" w:hAnsi="宋体" w:cs="宋体"/>
                <w:color w:val="auto"/>
                <w:sz w:val="20"/>
                <w:szCs w:val="20"/>
              </w:rPr>
            </w:pPr>
            <w:r>
              <w:rPr>
                <w:rFonts w:hint="eastAsia" w:ascii="宋体" w:hAnsi="宋体" w:cs="宋体"/>
                <w:color w:val="auto"/>
                <w:sz w:val="20"/>
                <w:szCs w:val="20"/>
              </w:rPr>
              <w:t xml:space="preserve">4、最大连续声压级：不低于127dB@300W(130dB@600W)；</w:t>
            </w:r>
            <w:r/>
          </w:p>
          <w:p>
            <w:pPr>
              <w:jc w:val="left"/>
              <w:rPr>
                <w:rFonts w:hint="eastAsia" w:ascii="宋体" w:hAnsi="宋体" w:cs="宋体"/>
                <w:color w:val="auto"/>
                <w:sz w:val="20"/>
                <w:szCs w:val="20"/>
              </w:rPr>
            </w:pPr>
            <w:r>
              <w:rPr>
                <w:rFonts w:hint="eastAsia" w:ascii="宋体" w:hAnsi="宋体" w:cs="宋体"/>
                <w:color w:val="auto"/>
                <w:sz w:val="20"/>
                <w:szCs w:val="20"/>
              </w:rPr>
              <w:t xml:space="preserve">5、频率范围（-6dB）：不低于100Hz—20KHz；</w:t>
            </w:r>
            <w:r/>
          </w:p>
          <w:p>
            <w:pPr>
              <w:jc w:val="left"/>
              <w:rPr>
                <w:rFonts w:hint="eastAsia" w:ascii="宋体" w:hAnsi="宋体" w:cs="宋体"/>
                <w:color w:val="auto"/>
                <w:sz w:val="20"/>
                <w:szCs w:val="20"/>
              </w:rPr>
            </w:pPr>
            <w:r>
              <w:rPr>
                <w:rFonts w:hint="eastAsia" w:ascii="宋体" w:hAnsi="宋体" w:cs="宋体"/>
                <w:color w:val="auto"/>
                <w:sz w:val="20"/>
                <w:szCs w:val="20"/>
              </w:rPr>
              <w:t xml:space="preserve">6、标称指向性(-6dB)：不少于H100°×V30°；</w:t>
            </w:r>
            <w:r/>
          </w:p>
          <w:p>
            <w:pPr>
              <w:jc w:val="left"/>
              <w:rPr>
                <w:rFonts w:hint="eastAsia" w:ascii="宋体" w:hAnsi="宋体" w:cs="宋体"/>
                <w:color w:val="auto"/>
                <w:sz w:val="20"/>
                <w:szCs w:val="20"/>
              </w:rPr>
            </w:pPr>
            <w:r>
              <w:rPr>
                <w:rFonts w:hint="eastAsia" w:ascii="宋体" w:hAnsi="宋体" w:cs="宋体"/>
                <w:color w:val="auto"/>
                <w:sz w:val="20"/>
                <w:szCs w:val="20"/>
              </w:rPr>
              <w:t xml:space="preserve">7、分频模式：被动式。</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吸顶音箱</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1、系统类型：不低于2单元2分频倒相式；</w:t>
            </w:r>
            <w:r/>
          </w:p>
          <w:p>
            <w:pPr>
              <w:jc w:val="left"/>
              <w:rPr>
                <w:rFonts w:hint="eastAsia" w:ascii="宋体" w:hAnsi="宋体" w:cs="宋体"/>
                <w:color w:val="auto"/>
                <w:sz w:val="20"/>
                <w:szCs w:val="20"/>
              </w:rPr>
            </w:pPr>
            <w:r>
              <w:rPr>
                <w:rFonts w:hint="eastAsia" w:ascii="宋体" w:hAnsi="宋体" w:cs="宋体"/>
                <w:color w:val="auto"/>
                <w:sz w:val="20"/>
                <w:szCs w:val="20"/>
              </w:rPr>
              <w:t xml:space="preserve">2、换能器配置：不低于1英寸丝膜球顶高音单元，6.5英寸双音圈橡皮边聚丙烯中低音单元；</w:t>
            </w:r>
            <w:r/>
          </w:p>
          <w:p>
            <w:pPr>
              <w:jc w:val="left"/>
              <w:rPr>
                <w:rFonts w:hint="eastAsia" w:ascii="宋体" w:hAnsi="宋体" w:cs="宋体"/>
                <w:color w:val="auto"/>
                <w:sz w:val="20"/>
                <w:szCs w:val="20"/>
              </w:rPr>
            </w:pPr>
            <w:r>
              <w:rPr>
                <w:rFonts w:hint="eastAsia" w:ascii="宋体" w:hAnsi="宋体" w:cs="宋体"/>
                <w:color w:val="auto"/>
                <w:sz w:val="20"/>
                <w:szCs w:val="20"/>
              </w:rPr>
              <w:t xml:space="preserve">3、额定功率：不低于40W，最大功率：不低于80W，峰值功率：不低于160W；  </w:t>
            </w:r>
            <w:r/>
          </w:p>
          <w:p>
            <w:pPr>
              <w:jc w:val="left"/>
              <w:rPr>
                <w:rFonts w:hint="eastAsia" w:ascii="宋体" w:hAnsi="宋体" w:cs="宋体"/>
                <w:color w:val="auto"/>
                <w:sz w:val="20"/>
                <w:szCs w:val="20"/>
              </w:rPr>
            </w:pPr>
            <w:r>
              <w:rPr>
                <w:rFonts w:hint="eastAsia" w:ascii="宋体" w:hAnsi="宋体" w:cs="宋体"/>
                <w:color w:val="auto"/>
                <w:sz w:val="20"/>
                <w:szCs w:val="20"/>
              </w:rPr>
              <w:t xml:space="preserve">4、标称灵敏度（1W@1m）：不低于84dB；</w:t>
            </w:r>
            <w:r/>
          </w:p>
          <w:p>
            <w:pPr>
              <w:jc w:val="left"/>
              <w:rPr>
                <w:rFonts w:hint="eastAsia" w:ascii="宋体" w:hAnsi="宋体" w:cs="宋体"/>
                <w:color w:val="auto"/>
                <w:sz w:val="20"/>
                <w:szCs w:val="20"/>
              </w:rPr>
            </w:pPr>
            <w:r>
              <w:rPr>
                <w:rFonts w:hint="eastAsia" w:ascii="宋体" w:hAnsi="宋体" w:cs="宋体"/>
                <w:color w:val="auto"/>
                <w:sz w:val="20"/>
                <w:szCs w:val="20"/>
              </w:rPr>
              <w:t xml:space="preserve">5、最大连续声压级：不低于103dB；</w:t>
            </w:r>
            <w:r/>
          </w:p>
          <w:p>
            <w:pPr>
              <w:jc w:val="left"/>
              <w:rPr>
                <w:rFonts w:hint="eastAsia" w:ascii="宋体" w:hAnsi="宋体" w:cs="宋体"/>
                <w:color w:val="auto"/>
                <w:sz w:val="20"/>
                <w:szCs w:val="20"/>
              </w:rPr>
            </w:pPr>
            <w:r>
              <w:rPr>
                <w:rFonts w:hint="eastAsia" w:ascii="宋体" w:hAnsi="宋体" w:cs="宋体"/>
                <w:color w:val="auto"/>
                <w:sz w:val="20"/>
                <w:szCs w:val="20"/>
              </w:rPr>
              <w:t xml:space="preserve">6、频响范围（-6dB）：不低于65Hz~20kHz；</w:t>
            </w:r>
            <w:r/>
          </w:p>
          <w:p>
            <w:pPr>
              <w:jc w:val="left"/>
              <w:rPr>
                <w:rFonts w:hint="eastAsia" w:ascii="宋体" w:hAnsi="宋体" w:cs="宋体"/>
                <w:color w:val="auto"/>
                <w:sz w:val="20"/>
                <w:szCs w:val="20"/>
              </w:rPr>
            </w:pPr>
            <w:r>
              <w:rPr>
                <w:rFonts w:hint="eastAsia" w:ascii="宋体" w:hAnsi="宋体" w:cs="宋体"/>
                <w:color w:val="auto"/>
                <w:sz w:val="20"/>
                <w:szCs w:val="20"/>
              </w:rPr>
              <w:t xml:space="preserve">7、指向特性(-6dB)：不少于90°H×90°V；</w:t>
            </w:r>
            <w:r/>
          </w:p>
          <w:p>
            <w:pPr>
              <w:jc w:val="left"/>
              <w:rPr>
                <w:rFonts w:hint="eastAsia" w:ascii="宋体" w:hAnsi="宋体" w:cs="宋体"/>
                <w:color w:val="auto"/>
                <w:sz w:val="20"/>
                <w:szCs w:val="20"/>
              </w:rPr>
            </w:pPr>
            <w:r>
              <w:rPr>
                <w:rFonts w:hint="eastAsia" w:ascii="宋体" w:hAnsi="宋体" w:cs="宋体"/>
                <w:color w:val="auto"/>
                <w:sz w:val="20"/>
                <w:szCs w:val="20"/>
              </w:rPr>
              <w:t xml:space="preserve">8、分频模式：被动式。</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双通道专业功放</w:t>
            </w:r>
            <w:r/>
          </w:p>
        </w:tc>
        <w:tc>
          <w:tcPr>
            <w:tcW w:w="7696" w:type="dxa"/>
            <w:vAlign w:val="center"/>
            <w:textDirection w:val="lrTb"/>
            <w:noWrap w:val="false"/>
          </w:tcPr>
          <w:p>
            <w:pPr>
              <w:jc w:val="left"/>
              <w:rPr>
                <w:rFonts w:hint="eastAsia" w:ascii="宋体" w:hAnsi="宋体" w:cs="宋体"/>
                <w:color w:val="auto"/>
                <w:sz w:val="20"/>
                <w:szCs w:val="20"/>
              </w:rPr>
            </w:pPr>
            <w:r>
              <w:rPr>
                <w:rFonts w:ascii="宋体" w:hAnsi="宋体" w:cs="宋体"/>
                <w:color w:val="auto"/>
                <w:sz w:val="20"/>
                <w:szCs w:val="20"/>
              </w:rPr>
              <w:t xml:space="preserve">1</w:t>
            </w:r>
            <w:r>
              <w:rPr>
                <w:rFonts w:hint="eastAsia" w:ascii="宋体" w:hAnsi="宋体" w:cs="宋体"/>
                <w:color w:val="auto"/>
                <w:sz w:val="20"/>
                <w:szCs w:val="20"/>
              </w:rPr>
              <w:t xml:space="preserve">、额定功率：不低于8Ω立体声600W×2，4Ω立体声1050W×2，桥接8Ω 1950W×1；</w:t>
            </w:r>
            <w:r/>
          </w:p>
          <w:p>
            <w:pPr>
              <w:jc w:val="left"/>
              <w:rPr>
                <w:rFonts w:hint="eastAsia" w:ascii="宋体" w:hAnsi="宋体" w:cs="宋体"/>
                <w:color w:val="auto"/>
                <w:sz w:val="20"/>
                <w:szCs w:val="20"/>
              </w:rPr>
            </w:pPr>
            <w:r>
              <w:rPr>
                <w:rFonts w:ascii="宋体" w:hAnsi="宋体" w:cs="宋体"/>
                <w:color w:val="auto"/>
                <w:sz w:val="20"/>
                <w:szCs w:val="20"/>
              </w:rPr>
              <w:t xml:space="preserve">2</w:t>
            </w:r>
            <w:r>
              <w:rPr>
                <w:rFonts w:hint="eastAsia" w:ascii="宋体" w:hAnsi="宋体" w:cs="宋体"/>
                <w:color w:val="auto"/>
                <w:sz w:val="20"/>
                <w:szCs w:val="20"/>
              </w:rPr>
              <w:t xml:space="preserve">、总谐波失真：&lt;0.1%；</w:t>
            </w:r>
            <w:r/>
          </w:p>
          <w:p>
            <w:pPr>
              <w:jc w:val="left"/>
              <w:rPr>
                <w:rFonts w:hint="eastAsia" w:ascii="宋体" w:hAnsi="宋体" w:cs="宋体"/>
                <w:color w:val="auto"/>
                <w:sz w:val="20"/>
                <w:szCs w:val="20"/>
              </w:rPr>
            </w:pPr>
            <w:r>
              <w:rPr>
                <w:rFonts w:ascii="宋体" w:hAnsi="宋体" w:cs="宋体"/>
                <w:color w:val="auto"/>
                <w:sz w:val="20"/>
                <w:szCs w:val="20"/>
              </w:rPr>
              <w:t xml:space="preserve">3</w:t>
            </w:r>
            <w:r>
              <w:rPr>
                <w:rFonts w:hint="eastAsia" w:ascii="宋体" w:hAnsi="宋体" w:cs="宋体"/>
                <w:color w:val="auto"/>
                <w:sz w:val="20"/>
                <w:szCs w:val="20"/>
              </w:rPr>
              <w:t xml:space="preserve">、频率响应：不少于20Hz-20kHz；</w:t>
            </w:r>
            <w:r/>
          </w:p>
          <w:p>
            <w:pPr>
              <w:jc w:val="left"/>
              <w:rPr>
                <w:rFonts w:hint="eastAsia" w:ascii="宋体" w:hAnsi="宋体" w:cs="宋体"/>
                <w:color w:val="auto"/>
                <w:sz w:val="20"/>
                <w:szCs w:val="20"/>
              </w:rPr>
            </w:pPr>
            <w:r>
              <w:rPr>
                <w:rFonts w:ascii="宋体" w:hAnsi="宋体" w:cs="宋体"/>
                <w:color w:val="auto"/>
                <w:sz w:val="20"/>
                <w:szCs w:val="20"/>
              </w:rPr>
              <w:t xml:space="preserve">4</w:t>
            </w:r>
            <w:r>
              <w:rPr>
                <w:rFonts w:hint="eastAsia" w:ascii="宋体" w:hAnsi="宋体" w:cs="宋体"/>
                <w:color w:val="auto"/>
                <w:sz w:val="20"/>
                <w:szCs w:val="20"/>
              </w:rPr>
              <w:t xml:space="preserve">、信噪比：≥100dB(A计权）；</w:t>
            </w:r>
            <w:r/>
          </w:p>
          <w:p>
            <w:pPr>
              <w:jc w:val="left"/>
              <w:rPr>
                <w:rFonts w:hint="eastAsia" w:ascii="宋体" w:hAnsi="宋体" w:cs="宋体"/>
                <w:color w:val="auto"/>
                <w:sz w:val="20"/>
                <w:szCs w:val="20"/>
              </w:rPr>
            </w:pPr>
            <w:r>
              <w:rPr>
                <w:rFonts w:ascii="宋体" w:hAnsi="宋体" w:cs="宋体"/>
                <w:color w:val="auto"/>
                <w:sz w:val="20"/>
                <w:szCs w:val="20"/>
              </w:rPr>
              <w:t xml:space="preserve">5</w:t>
            </w:r>
            <w:r>
              <w:rPr>
                <w:rFonts w:hint="eastAsia" w:ascii="宋体" w:hAnsi="宋体" w:cs="宋体"/>
                <w:color w:val="auto"/>
                <w:sz w:val="20"/>
                <w:szCs w:val="20"/>
              </w:rPr>
              <w:t xml:space="preserve">、输入灵敏度：0.775V/1.0V/1.2V/1.4V 四档输入选择；</w:t>
            </w:r>
            <w:r/>
          </w:p>
          <w:p>
            <w:pPr>
              <w:jc w:val="left"/>
              <w:rPr>
                <w:rFonts w:hint="eastAsia" w:ascii="宋体" w:hAnsi="宋体" w:cs="宋体"/>
                <w:color w:val="auto"/>
                <w:sz w:val="20"/>
                <w:szCs w:val="20"/>
              </w:rPr>
            </w:pPr>
            <w:r>
              <w:rPr>
                <w:rFonts w:ascii="宋体" w:hAnsi="宋体" w:cs="宋体"/>
                <w:color w:val="auto"/>
                <w:sz w:val="20"/>
                <w:szCs w:val="20"/>
              </w:rPr>
              <w:t xml:space="preserve">6</w:t>
            </w:r>
            <w:r>
              <w:rPr>
                <w:rFonts w:hint="eastAsia" w:ascii="宋体" w:hAnsi="宋体" w:cs="宋体"/>
                <w:color w:val="auto"/>
                <w:sz w:val="20"/>
                <w:szCs w:val="20"/>
              </w:rPr>
              <w:t xml:space="preserve">、输入阻抗：不低于20KΩ平衡/ 10KΩ非平衡；</w:t>
            </w:r>
            <w:r/>
          </w:p>
          <w:p>
            <w:pPr>
              <w:jc w:val="left"/>
              <w:rPr>
                <w:rFonts w:hint="eastAsia" w:ascii="宋体" w:hAnsi="宋体" w:cs="宋体"/>
                <w:color w:val="auto"/>
                <w:sz w:val="20"/>
                <w:szCs w:val="20"/>
              </w:rPr>
            </w:pPr>
            <w:r>
              <w:rPr>
                <w:rFonts w:ascii="宋体" w:hAnsi="宋体" w:cs="宋体"/>
                <w:color w:val="auto"/>
                <w:sz w:val="20"/>
                <w:szCs w:val="20"/>
              </w:rPr>
              <w:t xml:space="preserve">7</w:t>
            </w:r>
            <w:r>
              <w:rPr>
                <w:rFonts w:hint="eastAsia" w:ascii="宋体" w:hAnsi="宋体" w:cs="宋体"/>
                <w:color w:val="auto"/>
                <w:sz w:val="20"/>
                <w:szCs w:val="20"/>
              </w:rPr>
              <w:t xml:space="preserve">、阻尼系数：≥ 300(1kHz,8Ω)；</w:t>
            </w:r>
            <w:r/>
          </w:p>
          <w:p>
            <w:pPr>
              <w:jc w:val="left"/>
              <w:rPr>
                <w:rFonts w:hint="eastAsia" w:ascii="宋体" w:hAnsi="宋体" w:cs="宋体"/>
                <w:color w:val="auto"/>
                <w:sz w:val="20"/>
                <w:szCs w:val="20"/>
              </w:rPr>
            </w:pPr>
            <w:r>
              <w:rPr>
                <w:rFonts w:ascii="宋体" w:hAnsi="宋体" w:cs="宋体"/>
                <w:color w:val="auto"/>
                <w:sz w:val="20"/>
                <w:szCs w:val="20"/>
              </w:rPr>
              <w:t xml:space="preserve">8</w:t>
            </w:r>
            <w:r>
              <w:rPr>
                <w:rFonts w:hint="eastAsia" w:ascii="宋体" w:hAnsi="宋体" w:cs="宋体"/>
                <w:color w:val="auto"/>
                <w:sz w:val="20"/>
                <w:szCs w:val="20"/>
              </w:rPr>
              <w:t xml:space="preserve">、电压增益：不低于30dB；</w:t>
            </w:r>
            <w:r/>
          </w:p>
          <w:p>
            <w:pPr>
              <w:jc w:val="left"/>
              <w:rPr>
                <w:rFonts w:hint="eastAsia" w:ascii="宋体" w:hAnsi="宋体" w:cs="宋体"/>
                <w:color w:val="auto"/>
                <w:sz w:val="20"/>
                <w:szCs w:val="20"/>
              </w:rPr>
            </w:pPr>
            <w:r>
              <w:rPr>
                <w:rFonts w:ascii="宋体" w:hAnsi="宋体" w:cs="宋体"/>
                <w:color w:val="auto"/>
                <w:sz w:val="20"/>
                <w:szCs w:val="20"/>
              </w:rPr>
              <w:t xml:space="preserve">9</w:t>
            </w:r>
            <w:r>
              <w:rPr>
                <w:rFonts w:hint="eastAsia" w:ascii="宋体" w:hAnsi="宋体" w:cs="宋体"/>
                <w:color w:val="auto"/>
                <w:sz w:val="20"/>
                <w:szCs w:val="20"/>
              </w:rPr>
              <w:t xml:space="preserve">、动态范围：＞90dB；</w:t>
            </w:r>
            <w:r/>
          </w:p>
          <w:p>
            <w:pPr>
              <w:jc w:val="left"/>
              <w:rPr>
                <w:rFonts w:hint="eastAsia" w:ascii="宋体" w:hAnsi="宋体" w:cs="宋体"/>
                <w:color w:val="auto"/>
                <w:sz w:val="20"/>
                <w:szCs w:val="20"/>
              </w:rPr>
            </w:pPr>
            <w:r>
              <w:rPr>
                <w:rFonts w:ascii="宋体" w:hAnsi="宋体" w:cs="宋体"/>
                <w:color w:val="auto"/>
                <w:sz w:val="20"/>
                <w:szCs w:val="20"/>
              </w:rPr>
              <w:t xml:space="preserve">10</w:t>
            </w:r>
            <w:r>
              <w:rPr>
                <w:rFonts w:hint="eastAsia" w:ascii="宋体" w:hAnsi="宋体" w:cs="宋体"/>
                <w:color w:val="auto"/>
                <w:sz w:val="20"/>
                <w:szCs w:val="20"/>
              </w:rPr>
              <w:t xml:space="preserve">、转换速率：不低于25V/us；</w:t>
            </w:r>
            <w:r/>
          </w:p>
          <w:p>
            <w:pPr>
              <w:jc w:val="left"/>
              <w:rPr>
                <w:rFonts w:hint="eastAsia" w:ascii="宋体" w:hAnsi="宋体" w:cs="宋体"/>
                <w:color w:val="auto"/>
                <w:sz w:val="20"/>
                <w:szCs w:val="20"/>
              </w:rPr>
            </w:pPr>
            <w:r>
              <w:rPr>
                <w:rFonts w:hint="eastAsia" w:ascii="宋体" w:hAnsi="宋体" w:cs="宋体"/>
                <w:color w:val="auto"/>
                <w:sz w:val="20"/>
                <w:szCs w:val="20"/>
              </w:rPr>
              <w:t xml:space="preserve">1</w:t>
            </w:r>
            <w:r>
              <w:rPr>
                <w:rFonts w:ascii="宋体" w:hAnsi="宋体" w:cs="宋体"/>
                <w:color w:val="auto"/>
                <w:sz w:val="20"/>
                <w:szCs w:val="20"/>
              </w:rPr>
              <w:t xml:space="preserve">1</w:t>
            </w:r>
            <w:r>
              <w:rPr>
                <w:rFonts w:hint="eastAsia" w:ascii="宋体" w:hAnsi="宋体" w:cs="宋体"/>
                <w:color w:val="auto"/>
                <w:sz w:val="20"/>
                <w:szCs w:val="20"/>
              </w:rPr>
              <w:t xml:space="preserve">、接地悬浮开关：输入座接地脚接地和悬浮控制。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全频音箱</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1、系统类型：不低于15英寸，2分频低频反射式；</w:t>
            </w:r>
            <w:r/>
          </w:p>
          <w:p>
            <w:pPr>
              <w:jc w:val="left"/>
              <w:rPr>
                <w:rFonts w:hint="eastAsia" w:ascii="宋体" w:hAnsi="宋体" w:cs="宋体"/>
                <w:color w:val="auto"/>
                <w:sz w:val="20"/>
                <w:szCs w:val="20"/>
              </w:rPr>
            </w:pPr>
            <w:r>
              <w:rPr>
                <w:rFonts w:hint="eastAsia" w:ascii="宋体" w:hAnsi="宋体" w:cs="宋体"/>
                <w:color w:val="auto"/>
                <w:sz w:val="20"/>
                <w:szCs w:val="20"/>
              </w:rPr>
              <w:t xml:space="preserve">2、额定功率：不低于400W，最大功率：不低于800W，峰值功率：不低于1600W；</w:t>
            </w:r>
            <w:r/>
          </w:p>
          <w:p>
            <w:pPr>
              <w:jc w:val="left"/>
              <w:rPr>
                <w:rFonts w:hint="eastAsia" w:ascii="宋体" w:hAnsi="宋体" w:cs="宋体"/>
                <w:color w:val="auto"/>
                <w:sz w:val="20"/>
                <w:szCs w:val="20"/>
              </w:rPr>
            </w:pPr>
            <w:r>
              <w:rPr>
                <w:rFonts w:hint="eastAsia" w:ascii="宋体" w:hAnsi="宋体" w:cs="宋体"/>
                <w:color w:val="auto"/>
                <w:sz w:val="20"/>
                <w:szCs w:val="20"/>
              </w:rPr>
              <w:t xml:space="preserve">3、标称灵敏度（1W@1m）：不低于98dB；</w:t>
            </w:r>
            <w:r/>
          </w:p>
          <w:p>
            <w:pPr>
              <w:jc w:val="left"/>
              <w:rPr>
                <w:rFonts w:hint="eastAsia" w:ascii="宋体" w:hAnsi="宋体" w:cs="宋体"/>
                <w:color w:val="auto"/>
                <w:sz w:val="20"/>
                <w:szCs w:val="20"/>
              </w:rPr>
            </w:pPr>
            <w:r>
              <w:rPr>
                <w:rFonts w:hint="eastAsia" w:ascii="宋体" w:hAnsi="宋体" w:cs="宋体"/>
                <w:color w:val="auto"/>
                <w:sz w:val="20"/>
                <w:szCs w:val="20"/>
              </w:rPr>
              <w:t xml:space="preserve">4、最大声压级（Pmax@1m）：不低于124dB@400w(127dB@800w)；</w:t>
            </w:r>
            <w:r/>
          </w:p>
          <w:p>
            <w:pPr>
              <w:jc w:val="left"/>
              <w:rPr>
                <w:rFonts w:hint="eastAsia" w:ascii="宋体" w:hAnsi="宋体" w:cs="宋体"/>
                <w:color w:val="auto"/>
                <w:sz w:val="20"/>
                <w:szCs w:val="20"/>
              </w:rPr>
            </w:pPr>
            <w:r>
              <w:rPr>
                <w:rFonts w:hint="eastAsia" w:ascii="宋体" w:hAnsi="宋体" w:cs="宋体"/>
                <w:color w:val="auto"/>
                <w:sz w:val="20"/>
                <w:szCs w:val="20"/>
              </w:rPr>
              <w:t xml:space="preserve">5、频率范围(-10dB)：不低于52Hz-20KHz；</w:t>
            </w:r>
            <w:r/>
          </w:p>
          <w:p>
            <w:pPr>
              <w:jc w:val="left"/>
              <w:rPr>
                <w:rFonts w:hint="eastAsia" w:ascii="宋体" w:hAnsi="宋体" w:cs="宋体"/>
                <w:color w:val="auto"/>
                <w:sz w:val="20"/>
                <w:szCs w:val="20"/>
              </w:rPr>
            </w:pPr>
            <w:r>
              <w:rPr>
                <w:rFonts w:hint="eastAsia" w:ascii="宋体" w:hAnsi="宋体" w:cs="宋体"/>
                <w:color w:val="auto"/>
                <w:sz w:val="20"/>
                <w:szCs w:val="20"/>
              </w:rPr>
              <w:t xml:space="preserve">6、频率响应(±3dB)：不低于65Hz-20KH；</w:t>
            </w:r>
            <w:r/>
          </w:p>
          <w:p>
            <w:pPr>
              <w:jc w:val="left"/>
              <w:rPr>
                <w:rFonts w:hint="eastAsia" w:ascii="宋体" w:hAnsi="宋体" w:cs="宋体"/>
                <w:color w:val="auto"/>
                <w:sz w:val="20"/>
                <w:szCs w:val="20"/>
              </w:rPr>
            </w:pPr>
            <w:r>
              <w:rPr>
                <w:rFonts w:hint="eastAsia" w:ascii="宋体" w:hAnsi="宋体" w:cs="宋体"/>
                <w:color w:val="auto"/>
                <w:sz w:val="20"/>
                <w:szCs w:val="20"/>
              </w:rPr>
              <w:t xml:space="preserve">7、标称指向性（-6dB）：不少于70°H×100°V；</w:t>
            </w:r>
            <w:r/>
          </w:p>
          <w:p>
            <w:pPr>
              <w:jc w:val="left"/>
              <w:rPr>
                <w:rFonts w:hint="eastAsia" w:ascii="宋体" w:hAnsi="宋体" w:cs="宋体"/>
                <w:color w:val="auto"/>
                <w:sz w:val="20"/>
                <w:szCs w:val="20"/>
              </w:rPr>
            </w:pPr>
            <w:r>
              <w:rPr>
                <w:rFonts w:hint="eastAsia" w:ascii="宋体" w:hAnsi="宋体" w:cs="宋体"/>
                <w:color w:val="auto"/>
                <w:sz w:val="20"/>
                <w:szCs w:val="20"/>
              </w:rPr>
              <w:t xml:space="preserve">8、换能器配置：不低于低频驱动器15″×1，高频驱动器1.7″×1。</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双通道专业功放</w:t>
            </w:r>
            <w:r/>
          </w:p>
        </w:tc>
        <w:tc>
          <w:tcPr>
            <w:tcW w:w="7696" w:type="dxa"/>
            <w:vAlign w:val="center"/>
            <w:textDirection w:val="lrTb"/>
            <w:noWrap w:val="false"/>
          </w:tcPr>
          <w:p>
            <w:pPr>
              <w:jc w:val="left"/>
              <w:rPr>
                <w:rFonts w:hint="eastAsia" w:ascii="宋体" w:hAnsi="宋体" w:cs="宋体"/>
                <w:color w:val="auto"/>
                <w:sz w:val="20"/>
                <w:szCs w:val="20"/>
              </w:rPr>
            </w:pPr>
            <w:r>
              <w:rPr>
                <w:rFonts w:ascii="宋体" w:hAnsi="宋体" w:cs="宋体"/>
                <w:color w:val="auto"/>
                <w:sz w:val="20"/>
                <w:szCs w:val="20"/>
              </w:rPr>
              <w:t xml:space="preserve">1</w:t>
            </w:r>
            <w:r>
              <w:rPr>
                <w:rFonts w:hint="eastAsia" w:ascii="宋体" w:hAnsi="宋体" w:cs="宋体"/>
                <w:color w:val="auto"/>
                <w:sz w:val="20"/>
                <w:szCs w:val="20"/>
              </w:rPr>
              <w:t xml:space="preserve">、额定功率：不低于8Ω立体声800W×2，4Ω立体声1300W×2，桥接8Ω 2600W×1；</w:t>
            </w:r>
            <w:r/>
          </w:p>
          <w:p>
            <w:pPr>
              <w:jc w:val="left"/>
              <w:rPr>
                <w:rFonts w:hint="eastAsia" w:ascii="宋体" w:hAnsi="宋体" w:cs="宋体"/>
                <w:color w:val="auto"/>
                <w:sz w:val="20"/>
                <w:szCs w:val="20"/>
              </w:rPr>
            </w:pPr>
            <w:r>
              <w:rPr>
                <w:rFonts w:ascii="宋体" w:hAnsi="宋体" w:cs="宋体"/>
                <w:color w:val="auto"/>
                <w:sz w:val="20"/>
                <w:szCs w:val="20"/>
              </w:rPr>
              <w:t xml:space="preserve">2</w:t>
            </w:r>
            <w:r>
              <w:rPr>
                <w:rFonts w:hint="eastAsia" w:ascii="宋体" w:hAnsi="宋体" w:cs="宋体"/>
                <w:color w:val="auto"/>
                <w:sz w:val="20"/>
                <w:szCs w:val="20"/>
              </w:rPr>
              <w:t xml:space="preserve">、总谐波失真：&lt;0.1%；</w:t>
            </w:r>
            <w:r/>
          </w:p>
          <w:p>
            <w:pPr>
              <w:jc w:val="left"/>
              <w:rPr>
                <w:rFonts w:hint="eastAsia" w:ascii="宋体" w:hAnsi="宋体" w:cs="宋体"/>
                <w:color w:val="auto"/>
                <w:sz w:val="20"/>
                <w:szCs w:val="20"/>
              </w:rPr>
            </w:pPr>
            <w:r>
              <w:rPr>
                <w:rFonts w:ascii="宋体" w:hAnsi="宋体" w:cs="宋体"/>
                <w:color w:val="auto"/>
                <w:sz w:val="20"/>
                <w:szCs w:val="20"/>
              </w:rPr>
              <w:t xml:space="preserve">3</w:t>
            </w:r>
            <w:r>
              <w:rPr>
                <w:rFonts w:hint="eastAsia" w:ascii="宋体" w:hAnsi="宋体" w:cs="宋体"/>
                <w:color w:val="auto"/>
                <w:sz w:val="20"/>
                <w:szCs w:val="20"/>
              </w:rPr>
              <w:t xml:space="preserve">、频率响应：不低于20Hz-20kHz；</w:t>
            </w:r>
            <w:r/>
          </w:p>
          <w:p>
            <w:pPr>
              <w:jc w:val="left"/>
              <w:rPr>
                <w:rFonts w:hint="eastAsia" w:ascii="宋体" w:hAnsi="宋体" w:cs="宋体"/>
                <w:color w:val="auto"/>
                <w:sz w:val="20"/>
                <w:szCs w:val="20"/>
              </w:rPr>
            </w:pPr>
            <w:r>
              <w:rPr>
                <w:rFonts w:ascii="宋体" w:hAnsi="宋体" w:cs="宋体"/>
                <w:color w:val="auto"/>
                <w:sz w:val="20"/>
                <w:szCs w:val="20"/>
              </w:rPr>
              <w:t xml:space="preserve">4</w:t>
            </w:r>
            <w:r>
              <w:rPr>
                <w:rFonts w:hint="eastAsia" w:ascii="宋体" w:hAnsi="宋体" w:cs="宋体"/>
                <w:color w:val="auto"/>
                <w:sz w:val="20"/>
                <w:szCs w:val="20"/>
              </w:rPr>
              <w:t xml:space="preserve">、信噪比：&gt;100dB；</w:t>
            </w:r>
            <w:r/>
          </w:p>
          <w:p>
            <w:pPr>
              <w:jc w:val="left"/>
              <w:rPr>
                <w:rFonts w:hint="eastAsia" w:ascii="宋体" w:hAnsi="宋体" w:cs="宋体"/>
                <w:color w:val="auto"/>
                <w:sz w:val="20"/>
                <w:szCs w:val="20"/>
              </w:rPr>
            </w:pPr>
            <w:r>
              <w:rPr>
                <w:rFonts w:ascii="宋体" w:hAnsi="宋体" w:cs="宋体"/>
                <w:color w:val="auto"/>
                <w:sz w:val="20"/>
                <w:szCs w:val="20"/>
              </w:rPr>
              <w:t xml:space="preserve">5</w:t>
            </w:r>
            <w:r>
              <w:rPr>
                <w:rFonts w:hint="eastAsia" w:ascii="宋体" w:hAnsi="宋体" w:cs="宋体"/>
                <w:color w:val="auto"/>
                <w:sz w:val="20"/>
                <w:szCs w:val="20"/>
              </w:rPr>
              <w:t xml:space="preserve">、输入灵敏度：0.775V/1.0V/1.2V/1.4V 四档输入选择；</w:t>
            </w:r>
            <w:r/>
          </w:p>
          <w:p>
            <w:pPr>
              <w:jc w:val="left"/>
              <w:rPr>
                <w:rFonts w:hint="eastAsia" w:ascii="宋体" w:hAnsi="宋体" w:cs="宋体"/>
                <w:color w:val="auto"/>
                <w:sz w:val="20"/>
                <w:szCs w:val="20"/>
              </w:rPr>
            </w:pPr>
            <w:r>
              <w:rPr>
                <w:rFonts w:ascii="宋体" w:hAnsi="宋体" w:cs="宋体"/>
                <w:color w:val="auto"/>
                <w:sz w:val="20"/>
                <w:szCs w:val="20"/>
              </w:rPr>
              <w:t xml:space="preserve">6</w:t>
            </w:r>
            <w:r>
              <w:rPr>
                <w:rFonts w:hint="eastAsia" w:ascii="宋体" w:hAnsi="宋体" w:cs="宋体"/>
                <w:color w:val="auto"/>
                <w:sz w:val="20"/>
                <w:szCs w:val="20"/>
              </w:rPr>
              <w:t xml:space="preserve">、输入阻抗：不低于20K/10K；</w:t>
            </w:r>
            <w:r/>
          </w:p>
          <w:p>
            <w:pPr>
              <w:jc w:val="left"/>
              <w:rPr>
                <w:rFonts w:hint="eastAsia" w:ascii="宋体" w:hAnsi="宋体" w:cs="宋体"/>
                <w:color w:val="auto"/>
                <w:sz w:val="20"/>
                <w:szCs w:val="20"/>
              </w:rPr>
            </w:pPr>
            <w:r>
              <w:rPr>
                <w:rFonts w:ascii="宋体" w:hAnsi="宋体" w:cs="宋体"/>
                <w:color w:val="auto"/>
                <w:sz w:val="20"/>
                <w:szCs w:val="20"/>
              </w:rPr>
              <w:t xml:space="preserve">7</w:t>
            </w:r>
            <w:r>
              <w:rPr>
                <w:rFonts w:hint="eastAsia" w:ascii="宋体" w:hAnsi="宋体" w:cs="宋体"/>
                <w:color w:val="auto"/>
                <w:sz w:val="20"/>
                <w:szCs w:val="20"/>
              </w:rPr>
              <w:t xml:space="preserve">、阻尼系数：≥300@8Ω；</w:t>
            </w:r>
            <w:r/>
          </w:p>
          <w:p>
            <w:pPr>
              <w:jc w:val="left"/>
              <w:rPr>
                <w:rFonts w:hint="eastAsia" w:ascii="宋体" w:hAnsi="宋体" w:cs="宋体"/>
                <w:color w:val="auto"/>
                <w:sz w:val="20"/>
                <w:szCs w:val="20"/>
              </w:rPr>
            </w:pPr>
            <w:r>
              <w:rPr>
                <w:rFonts w:ascii="宋体" w:hAnsi="宋体" w:cs="宋体"/>
                <w:color w:val="auto"/>
                <w:sz w:val="20"/>
                <w:szCs w:val="20"/>
              </w:rPr>
              <w:t xml:space="preserve">8</w:t>
            </w:r>
            <w:r>
              <w:rPr>
                <w:rFonts w:hint="eastAsia" w:ascii="宋体" w:hAnsi="宋体" w:cs="宋体"/>
                <w:color w:val="auto"/>
                <w:sz w:val="20"/>
                <w:szCs w:val="20"/>
              </w:rPr>
              <w:t xml:space="preserve">、电压增益：不低于30dB；</w:t>
            </w:r>
            <w:r/>
          </w:p>
          <w:p>
            <w:pPr>
              <w:jc w:val="left"/>
              <w:rPr>
                <w:rFonts w:hint="eastAsia" w:ascii="宋体" w:hAnsi="宋体" w:cs="宋体"/>
                <w:color w:val="auto"/>
                <w:sz w:val="20"/>
                <w:szCs w:val="20"/>
              </w:rPr>
            </w:pPr>
            <w:r>
              <w:rPr>
                <w:rFonts w:ascii="宋体" w:hAnsi="宋体" w:cs="宋体"/>
                <w:color w:val="auto"/>
                <w:sz w:val="20"/>
                <w:szCs w:val="20"/>
              </w:rPr>
              <w:t xml:space="preserve">9</w:t>
            </w:r>
            <w:r>
              <w:rPr>
                <w:rFonts w:hint="eastAsia" w:ascii="宋体" w:hAnsi="宋体" w:cs="宋体"/>
                <w:color w:val="auto"/>
                <w:sz w:val="20"/>
                <w:szCs w:val="20"/>
              </w:rPr>
              <w:t xml:space="preserve">、动态范围：＞90dB；</w:t>
            </w:r>
            <w:r/>
          </w:p>
          <w:p>
            <w:pPr>
              <w:jc w:val="left"/>
              <w:rPr>
                <w:rFonts w:hint="eastAsia" w:ascii="宋体" w:hAnsi="宋体" w:cs="宋体"/>
                <w:color w:val="auto"/>
                <w:sz w:val="20"/>
                <w:szCs w:val="20"/>
              </w:rPr>
            </w:pPr>
            <w:r>
              <w:rPr>
                <w:rFonts w:ascii="宋体" w:hAnsi="宋体" w:cs="宋体"/>
                <w:color w:val="auto"/>
                <w:sz w:val="20"/>
                <w:szCs w:val="20"/>
              </w:rPr>
              <w:t xml:space="preserve">10</w:t>
            </w:r>
            <w:r>
              <w:rPr>
                <w:rFonts w:hint="eastAsia" w:ascii="宋体" w:hAnsi="宋体" w:cs="宋体"/>
                <w:color w:val="auto"/>
                <w:sz w:val="20"/>
                <w:szCs w:val="20"/>
              </w:rPr>
              <w:t xml:space="preserve">、转换速率：不低于25V/us。</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无线手持话筒</w:t>
            </w:r>
            <w:r/>
          </w:p>
        </w:tc>
        <w:tc>
          <w:tcPr>
            <w:tcW w:w="7696" w:type="dxa"/>
            <w:vAlign w:val="center"/>
            <w:textDirection w:val="lrTb"/>
            <w:noWrap w:val="false"/>
          </w:tcPr>
          <w:p>
            <w:pPr>
              <w:rPr>
                <w:rFonts w:hint="eastAsia" w:ascii="宋体" w:hAnsi="宋体" w:cs="宋体"/>
                <w:color w:val="auto"/>
                <w:sz w:val="20"/>
                <w:szCs w:val="20"/>
              </w:rPr>
            </w:pPr>
            <w:r>
              <w:rPr>
                <w:rFonts w:hint="eastAsia" w:ascii="宋体" w:hAnsi="宋体" w:cs="宋体"/>
                <w:color w:val="auto"/>
                <w:sz w:val="20"/>
                <w:szCs w:val="20"/>
              </w:rPr>
              <w:t xml:space="preserve">1、一拖二真分集四天线无线麦克风，使用距离≥200米；</w:t>
            </w:r>
            <w:r/>
          </w:p>
          <w:p>
            <w:pPr>
              <w:rPr>
                <w:rFonts w:hint="eastAsia" w:ascii="宋体" w:hAnsi="宋体" w:cs="宋体"/>
                <w:color w:val="auto"/>
                <w:sz w:val="20"/>
                <w:szCs w:val="20"/>
              </w:rPr>
            </w:pPr>
            <w:r>
              <w:rPr>
                <w:rFonts w:hint="eastAsia" w:ascii="宋体" w:hAnsi="宋体" w:cs="宋体"/>
                <w:color w:val="auto"/>
                <w:sz w:val="20"/>
                <w:szCs w:val="20"/>
              </w:rPr>
              <w:t xml:space="preserve">2、工作频率:650-820MHz；</w:t>
            </w:r>
            <w:r/>
          </w:p>
          <w:p>
            <w:pPr>
              <w:rPr>
                <w:rFonts w:hint="eastAsia" w:ascii="宋体" w:hAnsi="宋体" w:cs="宋体"/>
                <w:color w:val="auto"/>
                <w:sz w:val="20"/>
                <w:szCs w:val="20"/>
              </w:rPr>
            </w:pPr>
            <w:r>
              <w:rPr>
                <w:rFonts w:hint="eastAsia" w:ascii="宋体" w:hAnsi="宋体" w:cs="宋体"/>
                <w:color w:val="auto"/>
                <w:sz w:val="20"/>
                <w:szCs w:val="20"/>
              </w:rPr>
              <w:t xml:space="preserve">3、采用微电脑CPU控制；</w:t>
            </w:r>
            <w:r/>
          </w:p>
          <w:p>
            <w:pPr>
              <w:rPr>
                <w:rFonts w:hint="eastAsia" w:ascii="宋体" w:hAnsi="宋体" w:cs="宋体"/>
                <w:color w:val="auto"/>
                <w:sz w:val="20"/>
                <w:szCs w:val="20"/>
              </w:rPr>
            </w:pPr>
            <w:r>
              <w:rPr>
                <w:rFonts w:hint="eastAsia" w:ascii="宋体" w:hAnsi="宋体" w:cs="宋体"/>
                <w:color w:val="auto"/>
                <w:sz w:val="20"/>
                <w:szCs w:val="20"/>
              </w:rPr>
              <w:t xml:space="preserve">4、PLL锁相环频率合成技术，红外线对频；</w:t>
            </w:r>
            <w:r/>
          </w:p>
          <w:p>
            <w:pPr>
              <w:rPr>
                <w:rFonts w:hint="eastAsia" w:ascii="宋体" w:hAnsi="宋体" w:cs="宋体"/>
                <w:color w:val="auto"/>
                <w:sz w:val="20"/>
                <w:szCs w:val="20"/>
              </w:rPr>
            </w:pPr>
            <w:r>
              <w:rPr>
                <w:rFonts w:hint="eastAsia" w:ascii="宋体" w:hAnsi="宋体" w:cs="宋体"/>
                <w:color w:val="auto"/>
                <w:sz w:val="20"/>
                <w:szCs w:val="20"/>
              </w:rPr>
              <w:t xml:space="preserve">5、不少于200个频道自由选择，液晶数字显示；</w:t>
            </w:r>
            <w:r/>
          </w:p>
          <w:p>
            <w:pPr>
              <w:rPr>
                <w:rFonts w:hint="eastAsia" w:ascii="宋体" w:hAnsi="宋体" w:cs="宋体"/>
                <w:color w:val="auto"/>
                <w:sz w:val="20"/>
                <w:szCs w:val="20"/>
              </w:rPr>
            </w:pPr>
            <w:r>
              <w:rPr>
                <w:rFonts w:hint="eastAsia" w:ascii="宋体" w:hAnsi="宋体" w:cs="宋体"/>
                <w:color w:val="auto"/>
                <w:sz w:val="20"/>
                <w:szCs w:val="20"/>
              </w:rPr>
              <w:t xml:space="preserve">6、频率稳定度：不低于±0.002%；</w:t>
            </w:r>
            <w:r/>
          </w:p>
          <w:p>
            <w:pPr>
              <w:rPr>
                <w:rFonts w:hint="eastAsia" w:ascii="宋体" w:hAnsi="宋体" w:cs="宋体"/>
                <w:color w:val="auto"/>
                <w:sz w:val="20"/>
                <w:szCs w:val="20"/>
              </w:rPr>
            </w:pPr>
            <w:r>
              <w:rPr>
                <w:rFonts w:hint="eastAsia" w:ascii="宋体" w:hAnsi="宋体" w:cs="宋体"/>
                <w:color w:val="auto"/>
                <w:sz w:val="20"/>
                <w:szCs w:val="20"/>
              </w:rPr>
              <w:t xml:space="preserve">7、FM最大调制频率偏: 不低于±45KHz；</w:t>
            </w:r>
            <w:r/>
          </w:p>
          <w:p>
            <w:pPr>
              <w:rPr>
                <w:rFonts w:hint="eastAsia" w:ascii="宋体" w:hAnsi="宋体" w:cs="宋体"/>
                <w:color w:val="auto"/>
                <w:sz w:val="20"/>
                <w:szCs w:val="20"/>
              </w:rPr>
            </w:pPr>
            <w:r>
              <w:rPr>
                <w:rFonts w:hint="eastAsia" w:ascii="宋体" w:hAnsi="宋体" w:cs="宋体"/>
                <w:color w:val="auto"/>
                <w:sz w:val="20"/>
                <w:szCs w:val="20"/>
              </w:rPr>
              <w:t xml:space="preserve">8、智能电池欠压预警显示；</w:t>
            </w:r>
            <w:r/>
          </w:p>
          <w:p>
            <w:pPr>
              <w:rPr>
                <w:rFonts w:hint="eastAsia" w:ascii="宋体" w:hAnsi="宋体" w:cs="宋体"/>
                <w:color w:val="auto"/>
                <w:sz w:val="20"/>
                <w:szCs w:val="20"/>
              </w:rPr>
            </w:pPr>
            <w:r>
              <w:rPr>
                <w:rFonts w:hint="eastAsia" w:ascii="宋体" w:hAnsi="宋体" w:cs="宋体"/>
                <w:color w:val="auto"/>
                <w:sz w:val="20"/>
                <w:szCs w:val="20"/>
              </w:rPr>
              <w:t xml:space="preserve">9、杂讯锁定静噪控制，音码导航锁定静噪控制；</w:t>
            </w:r>
            <w:r/>
          </w:p>
          <w:p>
            <w:pPr>
              <w:rPr>
                <w:rFonts w:hint="eastAsia" w:ascii="宋体" w:hAnsi="宋体" w:cs="宋体"/>
                <w:color w:val="auto"/>
                <w:sz w:val="20"/>
                <w:szCs w:val="20"/>
              </w:rPr>
            </w:pPr>
            <w:r>
              <w:rPr>
                <w:rFonts w:hint="eastAsia" w:ascii="宋体" w:hAnsi="宋体" w:cs="宋体"/>
                <w:color w:val="auto"/>
                <w:sz w:val="20"/>
                <w:szCs w:val="20"/>
              </w:rPr>
              <w:t xml:space="preserve">10、动态音频压缩及自动电平控制电路；</w:t>
            </w:r>
            <w:r/>
          </w:p>
          <w:p>
            <w:pPr>
              <w:rPr>
                <w:rFonts w:hint="eastAsia" w:ascii="宋体" w:hAnsi="宋体" w:cs="宋体"/>
                <w:color w:val="auto"/>
                <w:sz w:val="20"/>
                <w:szCs w:val="20"/>
              </w:rPr>
            </w:pPr>
            <w:r>
              <w:rPr>
                <w:rFonts w:hint="eastAsia" w:ascii="宋体" w:hAnsi="宋体" w:cs="宋体"/>
                <w:color w:val="auto"/>
                <w:sz w:val="20"/>
                <w:szCs w:val="20"/>
              </w:rPr>
              <w:t xml:space="preserve">11、使用2节AA电池，可连续使用≥7小时。</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无线头戴话筒</w:t>
            </w:r>
            <w:r/>
          </w:p>
        </w:tc>
        <w:tc>
          <w:tcPr>
            <w:tcW w:w="7696" w:type="dxa"/>
            <w:vAlign w:val="center"/>
            <w:textDirection w:val="lrTb"/>
            <w:noWrap w:val="false"/>
          </w:tcPr>
          <w:p>
            <w:pPr>
              <w:rPr>
                <w:rFonts w:hint="eastAsia" w:ascii="宋体" w:hAnsi="宋体" w:cs="宋体"/>
                <w:color w:val="auto"/>
                <w:sz w:val="20"/>
                <w:szCs w:val="20"/>
              </w:rPr>
            </w:pPr>
            <w:r>
              <w:rPr>
                <w:rFonts w:hint="eastAsia" w:ascii="宋体" w:hAnsi="宋体" w:cs="宋体"/>
                <w:color w:val="auto"/>
                <w:sz w:val="20"/>
                <w:szCs w:val="20"/>
              </w:rPr>
              <w:t xml:space="preserve">1、一拖二真分集四天线无线麦克风，使用距离≥200米；</w:t>
            </w:r>
            <w:r/>
          </w:p>
          <w:p>
            <w:pPr>
              <w:rPr>
                <w:rFonts w:hint="eastAsia" w:ascii="宋体" w:hAnsi="宋体" w:cs="宋体"/>
                <w:color w:val="auto"/>
                <w:sz w:val="20"/>
                <w:szCs w:val="20"/>
              </w:rPr>
            </w:pPr>
            <w:r>
              <w:rPr>
                <w:rFonts w:hint="eastAsia" w:ascii="宋体" w:hAnsi="宋体" w:cs="宋体"/>
                <w:color w:val="auto"/>
                <w:sz w:val="20"/>
                <w:szCs w:val="20"/>
              </w:rPr>
              <w:t xml:space="preserve">2、工作频率:650-820MHz；</w:t>
            </w:r>
            <w:r/>
          </w:p>
          <w:p>
            <w:pPr>
              <w:rPr>
                <w:rFonts w:hint="eastAsia" w:ascii="宋体" w:hAnsi="宋体" w:cs="宋体"/>
                <w:color w:val="auto"/>
                <w:sz w:val="20"/>
                <w:szCs w:val="20"/>
              </w:rPr>
            </w:pPr>
            <w:r>
              <w:rPr>
                <w:rFonts w:hint="eastAsia" w:ascii="宋体" w:hAnsi="宋体" w:cs="宋体"/>
                <w:color w:val="auto"/>
                <w:sz w:val="20"/>
                <w:szCs w:val="20"/>
              </w:rPr>
              <w:t xml:space="preserve">3、采用微电脑CPU控制；</w:t>
            </w:r>
            <w:r/>
          </w:p>
          <w:p>
            <w:pPr>
              <w:rPr>
                <w:rFonts w:hint="eastAsia" w:ascii="宋体" w:hAnsi="宋体" w:cs="宋体"/>
                <w:color w:val="auto"/>
                <w:sz w:val="20"/>
                <w:szCs w:val="20"/>
              </w:rPr>
            </w:pPr>
            <w:r>
              <w:rPr>
                <w:rFonts w:hint="eastAsia" w:ascii="宋体" w:hAnsi="宋体" w:cs="宋体"/>
                <w:color w:val="auto"/>
                <w:sz w:val="20"/>
                <w:szCs w:val="20"/>
              </w:rPr>
              <w:t xml:space="preserve">4、PLL锁相环频率合成技术，红外线对频；</w:t>
            </w:r>
            <w:r/>
          </w:p>
          <w:p>
            <w:pPr>
              <w:rPr>
                <w:rFonts w:hint="eastAsia" w:ascii="宋体" w:hAnsi="宋体" w:cs="宋体"/>
                <w:color w:val="auto"/>
                <w:sz w:val="20"/>
                <w:szCs w:val="20"/>
              </w:rPr>
            </w:pPr>
            <w:r>
              <w:rPr>
                <w:rFonts w:hint="eastAsia" w:ascii="宋体" w:hAnsi="宋体" w:cs="宋体"/>
                <w:color w:val="auto"/>
                <w:sz w:val="20"/>
                <w:szCs w:val="20"/>
              </w:rPr>
              <w:t xml:space="preserve">5、不少于200个频道自由选择，液晶数字显示；</w:t>
            </w:r>
            <w:r/>
          </w:p>
          <w:p>
            <w:pPr>
              <w:rPr>
                <w:rFonts w:hint="eastAsia" w:ascii="宋体" w:hAnsi="宋体" w:cs="宋体"/>
                <w:color w:val="auto"/>
                <w:sz w:val="20"/>
                <w:szCs w:val="20"/>
              </w:rPr>
            </w:pPr>
            <w:r>
              <w:rPr>
                <w:rFonts w:hint="eastAsia" w:ascii="宋体" w:hAnsi="宋体" w:cs="宋体"/>
                <w:color w:val="auto"/>
                <w:sz w:val="20"/>
                <w:szCs w:val="20"/>
              </w:rPr>
              <w:t xml:space="preserve">6、频率稳定度：不低于±0.002%；</w:t>
            </w:r>
            <w:r/>
          </w:p>
          <w:p>
            <w:pPr>
              <w:rPr>
                <w:rFonts w:hint="eastAsia" w:ascii="宋体" w:hAnsi="宋体" w:cs="宋体"/>
                <w:color w:val="auto"/>
                <w:sz w:val="20"/>
                <w:szCs w:val="20"/>
              </w:rPr>
            </w:pPr>
            <w:r>
              <w:rPr>
                <w:rFonts w:hint="eastAsia" w:ascii="宋体" w:hAnsi="宋体" w:cs="宋体"/>
                <w:color w:val="auto"/>
                <w:sz w:val="20"/>
                <w:szCs w:val="20"/>
              </w:rPr>
              <w:t xml:space="preserve">7、FM最大调制频率偏: 不低于±45KHz；</w:t>
            </w:r>
            <w:r/>
          </w:p>
          <w:p>
            <w:pPr>
              <w:rPr>
                <w:rFonts w:hint="eastAsia" w:ascii="宋体" w:hAnsi="宋体" w:cs="宋体"/>
                <w:color w:val="auto"/>
                <w:sz w:val="20"/>
                <w:szCs w:val="20"/>
              </w:rPr>
            </w:pPr>
            <w:r>
              <w:rPr>
                <w:rFonts w:hint="eastAsia" w:ascii="宋体" w:hAnsi="宋体" w:cs="宋体"/>
                <w:color w:val="auto"/>
                <w:sz w:val="20"/>
                <w:szCs w:val="20"/>
              </w:rPr>
              <w:t xml:space="preserve">8、智能电池欠压预警显示。</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无线天线分配器</w:t>
            </w:r>
            <w:r/>
          </w:p>
        </w:tc>
        <w:tc>
          <w:tcPr>
            <w:tcW w:w="7696" w:type="dxa"/>
            <w:vAlign w:val="center"/>
            <w:textDirection w:val="lrTb"/>
            <w:noWrap w:val="false"/>
          </w:tcPr>
          <w:p>
            <w:pPr>
              <w:rPr>
                <w:rFonts w:hint="eastAsia" w:ascii="宋体" w:hAnsi="宋体" w:cs="宋体"/>
                <w:color w:val="auto"/>
                <w:sz w:val="20"/>
                <w:szCs w:val="20"/>
              </w:rPr>
            </w:pPr>
            <w:r>
              <w:rPr>
                <w:rFonts w:hint="eastAsia" w:ascii="宋体" w:hAnsi="宋体" w:cs="宋体"/>
                <w:color w:val="auto"/>
                <w:sz w:val="20"/>
                <w:szCs w:val="20"/>
              </w:rPr>
              <w:t xml:space="preserve">1、支持多台接收机使用，让接收讯号获得较佳噪讯比，增加接收距离及稳定性；</w:t>
            </w:r>
            <w:r/>
          </w:p>
          <w:p>
            <w:pPr>
              <w:rPr>
                <w:rFonts w:hint="eastAsia" w:ascii="宋体" w:hAnsi="宋体" w:cs="宋体"/>
                <w:color w:val="auto"/>
                <w:sz w:val="20"/>
                <w:szCs w:val="20"/>
              </w:rPr>
            </w:pPr>
            <w:r>
              <w:rPr>
                <w:rFonts w:hint="eastAsia" w:ascii="宋体" w:hAnsi="宋体" w:cs="宋体"/>
                <w:color w:val="auto"/>
                <w:sz w:val="20"/>
                <w:szCs w:val="20"/>
              </w:rPr>
              <w:t xml:space="preserve">2、支持提供不少于4组电源输出；</w:t>
            </w:r>
            <w:r/>
          </w:p>
          <w:p>
            <w:pPr>
              <w:rPr>
                <w:rFonts w:hint="eastAsia" w:ascii="宋体" w:hAnsi="宋体" w:cs="宋体"/>
                <w:color w:val="auto"/>
                <w:sz w:val="20"/>
                <w:szCs w:val="20"/>
              </w:rPr>
            </w:pPr>
            <w:r>
              <w:rPr>
                <w:rFonts w:hint="eastAsia" w:ascii="宋体" w:hAnsi="宋体" w:cs="宋体"/>
                <w:color w:val="auto"/>
                <w:sz w:val="20"/>
                <w:szCs w:val="20"/>
              </w:rPr>
              <w:t xml:space="preserve">3、输入/出阻抗：不低于50Ω；</w:t>
            </w:r>
            <w:r/>
          </w:p>
          <w:p>
            <w:pPr>
              <w:rPr>
                <w:rFonts w:hint="eastAsia" w:ascii="宋体" w:hAnsi="宋体" w:cs="宋体"/>
                <w:color w:val="auto"/>
                <w:sz w:val="20"/>
                <w:szCs w:val="20"/>
              </w:rPr>
            </w:pPr>
            <w:r>
              <w:rPr>
                <w:rFonts w:hint="eastAsia" w:ascii="宋体" w:hAnsi="宋体" w:cs="宋体"/>
                <w:color w:val="auto"/>
                <w:sz w:val="20"/>
                <w:szCs w:val="20"/>
              </w:rPr>
              <w:t xml:space="preserve">4、频带范围：500-900MHz；</w:t>
            </w:r>
            <w:r/>
          </w:p>
          <w:p>
            <w:pPr>
              <w:rPr>
                <w:rFonts w:hint="eastAsia" w:ascii="宋体" w:hAnsi="宋体" w:cs="宋体"/>
                <w:color w:val="auto"/>
                <w:sz w:val="20"/>
                <w:szCs w:val="20"/>
              </w:rPr>
            </w:pPr>
            <w:r>
              <w:rPr>
                <w:rFonts w:hint="eastAsia" w:ascii="宋体" w:hAnsi="宋体" w:cs="宋体"/>
                <w:color w:val="auto"/>
                <w:sz w:val="20"/>
                <w:szCs w:val="20"/>
              </w:rPr>
              <w:t xml:space="preserve">5、输入/出增益：不低于0dB（频段中心）；</w:t>
            </w:r>
            <w:r/>
          </w:p>
          <w:p>
            <w:pPr>
              <w:rPr>
                <w:rFonts w:hint="eastAsia" w:ascii="宋体" w:hAnsi="宋体" w:cs="宋体"/>
                <w:color w:val="auto"/>
                <w:sz w:val="20"/>
                <w:szCs w:val="20"/>
              </w:rPr>
            </w:pPr>
            <w:r>
              <w:rPr>
                <w:rFonts w:hint="eastAsia" w:ascii="宋体" w:hAnsi="宋体" w:cs="宋体"/>
                <w:color w:val="auto"/>
                <w:sz w:val="20"/>
                <w:szCs w:val="20"/>
              </w:rPr>
              <w:t xml:space="preserve">6、输出端绝缘度：不低于20dB；</w:t>
            </w:r>
            <w:r/>
          </w:p>
          <w:p>
            <w:pPr>
              <w:rPr>
                <w:rFonts w:hint="eastAsia" w:ascii="宋体" w:hAnsi="宋体" w:cs="宋体"/>
                <w:color w:val="auto"/>
                <w:sz w:val="20"/>
                <w:szCs w:val="20"/>
              </w:rPr>
            </w:pPr>
            <w:r>
              <w:rPr>
                <w:rFonts w:hint="eastAsia" w:ascii="宋体" w:hAnsi="宋体" w:cs="宋体"/>
                <w:color w:val="auto"/>
                <w:sz w:val="20"/>
                <w:szCs w:val="20"/>
              </w:rPr>
              <w:t xml:space="preserve">7、增益：不低于13dBm；</w:t>
            </w:r>
            <w:r/>
          </w:p>
          <w:p>
            <w:pPr>
              <w:rPr>
                <w:rFonts w:hint="eastAsia" w:ascii="宋体" w:hAnsi="宋体" w:cs="宋体"/>
                <w:color w:val="auto"/>
                <w:sz w:val="20"/>
                <w:szCs w:val="20"/>
              </w:rPr>
            </w:pPr>
            <w:r>
              <w:rPr>
                <w:rFonts w:hint="eastAsia" w:ascii="宋体" w:hAnsi="宋体" w:cs="宋体"/>
                <w:color w:val="auto"/>
                <w:sz w:val="20"/>
                <w:szCs w:val="20"/>
              </w:rPr>
              <w:t xml:space="preserve">8、频宽:不低于400MHz。</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无线话筒天线</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1、UHF对数周期偶极子无源天线；</w:t>
            </w:r>
            <w:r/>
          </w:p>
          <w:p>
            <w:pPr>
              <w:jc w:val="left"/>
              <w:rPr>
                <w:rFonts w:hint="eastAsia" w:ascii="宋体" w:hAnsi="宋体" w:cs="宋体"/>
                <w:color w:val="auto"/>
                <w:sz w:val="20"/>
                <w:szCs w:val="20"/>
              </w:rPr>
            </w:pPr>
            <w:r>
              <w:rPr>
                <w:rFonts w:hint="eastAsia" w:ascii="宋体" w:hAnsi="宋体" w:cs="宋体"/>
                <w:color w:val="auto"/>
                <w:sz w:val="20"/>
                <w:szCs w:val="20"/>
              </w:rPr>
              <w:t xml:space="preserve">2、频率响应：少于440-900MHz，适用所有U段无线系统；</w:t>
            </w:r>
            <w:r/>
          </w:p>
          <w:p>
            <w:pPr>
              <w:jc w:val="left"/>
              <w:rPr>
                <w:rFonts w:hint="eastAsia" w:ascii="宋体" w:hAnsi="宋体" w:cs="宋体"/>
                <w:color w:val="auto"/>
                <w:sz w:val="20"/>
                <w:szCs w:val="20"/>
              </w:rPr>
            </w:pPr>
            <w:r>
              <w:rPr>
                <w:rFonts w:hint="eastAsia" w:ascii="宋体" w:hAnsi="宋体" w:cs="宋体"/>
                <w:color w:val="auto"/>
                <w:sz w:val="20"/>
                <w:szCs w:val="20"/>
              </w:rPr>
              <w:t xml:space="preserve">3、增益不低于6dB；</w:t>
            </w:r>
            <w:r/>
          </w:p>
          <w:p>
            <w:pPr>
              <w:jc w:val="left"/>
              <w:rPr>
                <w:rFonts w:hint="eastAsia" w:ascii="宋体" w:hAnsi="宋体" w:cs="宋体"/>
                <w:color w:val="auto"/>
                <w:sz w:val="20"/>
                <w:szCs w:val="20"/>
              </w:rPr>
            </w:pPr>
            <w:r>
              <w:rPr>
                <w:rFonts w:hint="eastAsia" w:ascii="宋体" w:hAnsi="宋体" w:cs="宋体"/>
                <w:color w:val="auto"/>
                <w:sz w:val="20"/>
                <w:szCs w:val="20"/>
              </w:rPr>
              <w:t xml:space="preserve">4、阻抗不低于50欧姆；</w:t>
            </w:r>
            <w:r/>
          </w:p>
          <w:p>
            <w:pPr>
              <w:jc w:val="left"/>
              <w:rPr>
                <w:rFonts w:hint="eastAsia" w:ascii="宋体" w:hAnsi="宋体" w:cs="宋体"/>
                <w:color w:val="auto"/>
                <w:sz w:val="20"/>
                <w:szCs w:val="20"/>
              </w:rPr>
            </w:pPr>
            <w:r>
              <w:rPr>
                <w:rFonts w:hint="eastAsia" w:ascii="宋体" w:hAnsi="宋体" w:cs="宋体"/>
                <w:color w:val="auto"/>
                <w:sz w:val="20"/>
                <w:szCs w:val="20"/>
              </w:rPr>
              <w:t xml:space="preserve">5、指向性：不低于椭圆指向90°；</w:t>
            </w:r>
            <w:r/>
          </w:p>
          <w:p>
            <w:pPr>
              <w:jc w:val="left"/>
              <w:rPr>
                <w:rFonts w:hint="eastAsia" w:ascii="宋体" w:hAnsi="宋体" w:cs="宋体"/>
                <w:color w:val="auto"/>
                <w:sz w:val="20"/>
                <w:szCs w:val="20"/>
              </w:rPr>
            </w:pPr>
            <w:r>
              <w:rPr>
                <w:rFonts w:hint="eastAsia" w:ascii="宋体" w:hAnsi="宋体" w:cs="宋体"/>
                <w:color w:val="auto"/>
                <w:sz w:val="20"/>
                <w:szCs w:val="20"/>
              </w:rPr>
              <w:t xml:space="preserve">6、指向极性：垂直。</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89</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50Ω同轴电缆</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50Ω同轴电缆不低于30米，用于无线话筒天线延长使用，750MHz频率下，每100米约衰减不大于20dB。</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桌面话筒架</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ABS管体，加重圆盘底座；高度调节可调节15-31cm左右；防滑软塑麦夹，兼容大多数手持麦克风；话筒角度可调节至最大180°。</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91</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音箱架</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1、分体式设计，自由调节；</w:t>
            </w:r>
            <w:r/>
          </w:p>
          <w:p>
            <w:pPr>
              <w:jc w:val="left"/>
              <w:rPr>
                <w:rFonts w:hint="eastAsia" w:ascii="宋体" w:hAnsi="宋体" w:cs="宋体"/>
                <w:color w:val="auto"/>
                <w:sz w:val="20"/>
                <w:szCs w:val="20"/>
              </w:rPr>
            </w:pPr>
            <w:r>
              <w:rPr>
                <w:rFonts w:hint="eastAsia" w:ascii="宋体" w:hAnsi="宋体" w:cs="宋体"/>
                <w:color w:val="auto"/>
                <w:sz w:val="20"/>
                <w:szCs w:val="20"/>
              </w:rPr>
              <w:t xml:space="preserve">2、挂架中心能穿过音箱线；</w:t>
            </w:r>
            <w:r/>
          </w:p>
          <w:p>
            <w:pPr>
              <w:jc w:val="left"/>
              <w:rPr>
                <w:rFonts w:hint="eastAsia" w:ascii="宋体" w:hAnsi="宋体" w:cs="宋体"/>
                <w:color w:val="auto"/>
                <w:sz w:val="20"/>
                <w:szCs w:val="20"/>
              </w:rPr>
            </w:pPr>
            <w:r>
              <w:rPr>
                <w:rFonts w:hint="eastAsia" w:ascii="宋体" w:hAnsi="宋体" w:cs="宋体"/>
                <w:color w:val="auto"/>
                <w:sz w:val="20"/>
                <w:szCs w:val="20"/>
              </w:rPr>
              <w:t xml:space="preserve">3、可左右上下调节角度 ，架子厚重扎实，稳定性强，承重≥20KG。</w:t>
            </w:r>
            <w:r/>
          </w:p>
        </w:tc>
      </w:tr>
      <w:tr>
        <w:trPr>
          <w:cantSplit/>
          <w:trHeight w:val="976"/>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92</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8路电源时序器</w:t>
            </w:r>
            <w:r/>
          </w:p>
        </w:tc>
        <w:tc>
          <w:tcPr>
            <w:tcW w:w="7696" w:type="dxa"/>
            <w:vAlign w:val="center"/>
            <w:textDirection w:val="lrTb"/>
            <w:noWrap w:val="false"/>
          </w:tcPr>
          <w:p>
            <w:pPr>
              <w:rPr>
                <w:rFonts w:hint="eastAsia" w:ascii="宋体" w:hAnsi="宋体" w:cs="宋体"/>
                <w:color w:val="auto"/>
                <w:sz w:val="20"/>
                <w:szCs w:val="20"/>
              </w:rPr>
            </w:pPr>
            <w:r>
              <w:rPr>
                <w:rFonts w:hint="eastAsia" w:ascii="宋体" w:hAnsi="宋体" w:cs="宋体"/>
                <w:color w:val="auto"/>
                <w:sz w:val="20"/>
                <w:szCs w:val="20"/>
              </w:rPr>
              <w:t xml:space="preserve">1、工作电压：单相AC220V(±20%)；</w:t>
            </w:r>
            <w:r/>
          </w:p>
          <w:p>
            <w:pPr>
              <w:rPr>
                <w:rFonts w:hint="eastAsia" w:ascii="宋体" w:hAnsi="宋体" w:cs="宋体"/>
                <w:color w:val="auto"/>
                <w:sz w:val="20"/>
                <w:szCs w:val="20"/>
              </w:rPr>
            </w:pPr>
            <w:r>
              <w:rPr>
                <w:rFonts w:ascii="宋体" w:hAnsi="宋体" w:cs="宋体"/>
                <w:color w:val="auto"/>
                <w:sz w:val="20"/>
                <w:szCs w:val="20"/>
              </w:rPr>
              <w:t xml:space="preserve">2</w:t>
            </w:r>
            <w:r>
              <w:rPr>
                <w:rFonts w:hint="eastAsia" w:ascii="宋体" w:hAnsi="宋体" w:cs="宋体"/>
                <w:color w:val="auto"/>
                <w:sz w:val="20"/>
                <w:szCs w:val="20"/>
              </w:rPr>
              <w:t xml:space="preserve">、工作频率：50Hz或60Hz；</w:t>
            </w:r>
            <w:r/>
          </w:p>
          <w:p>
            <w:pPr>
              <w:rPr>
                <w:rFonts w:hint="eastAsia" w:ascii="宋体" w:hAnsi="宋体" w:cs="宋体"/>
                <w:color w:val="auto"/>
                <w:sz w:val="20"/>
                <w:szCs w:val="20"/>
              </w:rPr>
            </w:pPr>
            <w:r>
              <w:rPr>
                <w:rFonts w:ascii="宋体" w:hAnsi="宋体" w:cs="宋体"/>
                <w:color w:val="auto"/>
                <w:sz w:val="20"/>
                <w:szCs w:val="20"/>
              </w:rPr>
              <w:t xml:space="preserve">3</w:t>
            </w:r>
            <w:r>
              <w:rPr>
                <w:rFonts w:hint="eastAsia" w:ascii="宋体" w:hAnsi="宋体" w:cs="宋体"/>
                <w:color w:val="auto"/>
                <w:sz w:val="20"/>
                <w:szCs w:val="20"/>
              </w:rPr>
              <w:t xml:space="preserve">、CPU：采用ARM核32位处理器；</w:t>
            </w:r>
            <w:r/>
          </w:p>
          <w:p>
            <w:pPr>
              <w:rPr>
                <w:rFonts w:hint="eastAsia" w:ascii="宋体" w:hAnsi="宋体" w:cs="宋体"/>
                <w:color w:val="auto"/>
                <w:sz w:val="20"/>
                <w:szCs w:val="20"/>
              </w:rPr>
            </w:pPr>
            <w:r>
              <w:rPr>
                <w:rFonts w:ascii="宋体" w:hAnsi="宋体" w:cs="宋体"/>
                <w:color w:val="auto"/>
                <w:sz w:val="20"/>
                <w:szCs w:val="20"/>
              </w:rPr>
              <w:t xml:space="preserve">4</w:t>
            </w:r>
            <w:r>
              <w:rPr>
                <w:rFonts w:hint="eastAsia" w:ascii="宋体" w:hAnsi="宋体" w:cs="宋体"/>
                <w:color w:val="auto"/>
                <w:sz w:val="20"/>
                <w:szCs w:val="20"/>
              </w:rPr>
              <w:t xml:space="preserve">、系统参数显示方式：不低于2×24 LCD蓝色背光液晶显示；</w:t>
            </w:r>
            <w:r/>
          </w:p>
          <w:p>
            <w:pPr>
              <w:rPr>
                <w:rFonts w:hint="eastAsia" w:ascii="宋体" w:hAnsi="宋体" w:cs="宋体"/>
                <w:color w:val="auto"/>
                <w:sz w:val="20"/>
                <w:szCs w:val="20"/>
              </w:rPr>
            </w:pPr>
            <w:r>
              <w:rPr>
                <w:rFonts w:ascii="宋体" w:hAnsi="宋体" w:cs="宋体"/>
                <w:color w:val="auto"/>
                <w:sz w:val="20"/>
                <w:szCs w:val="20"/>
              </w:rPr>
              <w:t xml:space="preserve">5</w:t>
            </w:r>
            <w:r>
              <w:rPr>
                <w:rFonts w:hint="eastAsia" w:ascii="宋体" w:hAnsi="宋体" w:cs="宋体"/>
                <w:color w:val="auto"/>
                <w:sz w:val="20"/>
                <w:szCs w:val="20"/>
              </w:rPr>
              <w:t xml:space="preserve">、电源输入：连接单相3芯接线座，可外接3芯单相电缆；</w:t>
            </w:r>
            <w:r/>
          </w:p>
          <w:p>
            <w:pPr>
              <w:rPr>
                <w:rFonts w:hint="eastAsia" w:ascii="宋体" w:hAnsi="宋体" w:cs="宋体"/>
                <w:color w:val="auto"/>
                <w:sz w:val="20"/>
                <w:szCs w:val="20"/>
              </w:rPr>
            </w:pPr>
            <w:r>
              <w:rPr>
                <w:rFonts w:ascii="宋体" w:hAnsi="宋体" w:cs="宋体"/>
                <w:color w:val="auto"/>
                <w:sz w:val="20"/>
                <w:szCs w:val="20"/>
              </w:rPr>
              <w:t xml:space="preserve">6</w:t>
            </w:r>
            <w:r>
              <w:rPr>
                <w:rFonts w:hint="eastAsia" w:ascii="宋体" w:hAnsi="宋体" w:cs="宋体"/>
                <w:color w:val="auto"/>
                <w:sz w:val="20"/>
                <w:szCs w:val="20"/>
              </w:rPr>
              <w:t xml:space="preserve">、时序通道：不低于8通道独立控制的时序通道，8通道独立常开控制，8通道独立硬件开关式应急停止设置；</w:t>
            </w:r>
            <w:r/>
          </w:p>
          <w:p>
            <w:pPr>
              <w:rPr>
                <w:rFonts w:hint="eastAsia" w:ascii="宋体" w:hAnsi="宋体" w:cs="宋体"/>
                <w:color w:val="auto"/>
                <w:sz w:val="20"/>
                <w:szCs w:val="20"/>
              </w:rPr>
            </w:pPr>
            <w:r>
              <w:rPr>
                <w:rFonts w:hint="eastAsia" w:ascii="宋体" w:hAnsi="宋体" w:cs="宋体"/>
                <w:color w:val="auto"/>
                <w:sz w:val="20"/>
                <w:szCs w:val="20"/>
              </w:rPr>
              <w:t xml:space="preserve">7、电源输出插座：不少于8路国标10A安全划盖插座，面板不少于两个直通为国标10A安全划盖插座。</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93</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42U机柜</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lang w:bidi="ar"/>
              </w:rPr>
              <w:t xml:space="preserve">不小于</w:t>
            </w:r>
            <w:r>
              <w:rPr>
                <w:rFonts w:hint="eastAsia" w:ascii="宋体" w:hAnsi="宋体" w:cs="宋体"/>
                <w:color w:val="auto"/>
                <w:sz w:val="20"/>
                <w:szCs w:val="20"/>
              </w:rPr>
              <w:t xml:space="preserve">宽600mm深600mm高2000mm，</w:t>
            </w:r>
            <w:r>
              <w:rPr>
                <w:rFonts w:hint="eastAsia" w:ascii="宋体" w:hAnsi="宋体" w:cs="宋体"/>
                <w:color w:val="auto"/>
                <w:sz w:val="20"/>
                <w:szCs w:val="20"/>
                <w:lang w:bidi="ar"/>
              </w:rPr>
              <w:t xml:space="preserve">全部选用SPCC冷轧钢板制作；脱脂、酸洗、防锈磷化、纯水清洗、喷塑处理、外型美观；防护等级:IP20。</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94</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24U机柜</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bCs/>
                <w:color w:val="auto"/>
                <w:sz w:val="20"/>
                <w:szCs w:val="20"/>
              </w:rPr>
              <w:t xml:space="preserve">不低于宽600深600高1200mm</w:t>
            </w:r>
            <w:r>
              <w:rPr>
                <w:rFonts w:hint="eastAsia" w:ascii="宋体" w:hAnsi="宋体" w:cs="宋体"/>
                <w:color w:val="auto"/>
                <w:sz w:val="20"/>
                <w:szCs w:val="20"/>
              </w:rPr>
              <w:t xml:space="preserve">，</w:t>
            </w:r>
            <w:r>
              <w:rPr>
                <w:rFonts w:hint="eastAsia" w:ascii="宋体" w:hAnsi="宋体" w:cs="宋体"/>
                <w:color w:val="auto"/>
                <w:sz w:val="20"/>
                <w:szCs w:val="20"/>
                <w:lang w:bidi="ar"/>
              </w:rPr>
              <w:t xml:space="preserve">全部选用SPCC冷轧钢板制作；脱脂、酸洗、防锈磷化、纯水清洗、喷塑处理、外型美观；防护等级:IP20。</w:t>
            </w:r>
            <w:bookmarkEnd w:id="196"/>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95</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操作台</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lang w:bidi="ar"/>
              </w:rPr>
              <w:t xml:space="preserve">不小于</w:t>
            </w:r>
            <w:r>
              <w:rPr>
                <w:rFonts w:hint="eastAsia" w:ascii="宋体" w:hAnsi="宋体" w:cs="宋体"/>
                <w:color w:val="auto"/>
                <w:sz w:val="20"/>
                <w:szCs w:val="20"/>
              </w:rPr>
              <w:t xml:space="preserve">4联工位，整体尺寸</w:t>
            </w:r>
            <w:r>
              <w:rPr>
                <w:rFonts w:hint="eastAsia" w:ascii="宋体" w:hAnsi="宋体" w:cs="宋体"/>
                <w:color w:val="auto"/>
                <w:sz w:val="20"/>
                <w:szCs w:val="20"/>
                <w:lang w:bidi="ar"/>
              </w:rPr>
              <w:t xml:space="preserve">不小于</w:t>
            </w:r>
            <w:r>
              <w:rPr>
                <w:rFonts w:hint="eastAsia" w:ascii="宋体" w:hAnsi="宋体" w:cs="宋体"/>
                <w:color w:val="auto"/>
                <w:sz w:val="20"/>
                <w:szCs w:val="20"/>
              </w:rPr>
              <w:t xml:space="preserve">2400*900*750mm；E1级防火台面；底部独立机柜。</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96</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弧形操作台</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lang w:bidi="ar"/>
              </w:rPr>
              <w:t xml:space="preserve">不小于</w:t>
            </w:r>
            <w:r>
              <w:rPr>
                <w:rFonts w:hint="eastAsia" w:ascii="宋体" w:hAnsi="宋体" w:cs="宋体"/>
                <w:color w:val="auto"/>
                <w:sz w:val="20"/>
                <w:szCs w:val="20"/>
              </w:rPr>
              <w:t xml:space="preserve">4联弧形工位，科技感烤漆，LED灯带，整体尺寸</w:t>
            </w:r>
            <w:r>
              <w:rPr>
                <w:rFonts w:hint="eastAsia" w:ascii="宋体" w:hAnsi="宋体" w:cs="宋体"/>
                <w:color w:val="auto"/>
                <w:sz w:val="20"/>
                <w:szCs w:val="20"/>
                <w:lang w:bidi="ar"/>
              </w:rPr>
              <w:t xml:space="preserve">不小于</w:t>
            </w:r>
            <w:r>
              <w:rPr>
                <w:rFonts w:hint="eastAsia" w:ascii="宋体" w:hAnsi="宋体" w:cs="宋体"/>
                <w:color w:val="auto"/>
                <w:sz w:val="20"/>
                <w:szCs w:val="20"/>
              </w:rPr>
              <w:t xml:space="preserve">2400*900*750mm；E1级防火台面；底部独立机柜。</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97</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多媒体插座1</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含电源、HDMI等接口。</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98</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多媒体插座2</w:t>
            </w:r>
            <w:r/>
          </w:p>
        </w:tc>
        <w:tc>
          <w:tcPr>
            <w:tcW w:w="7696" w:type="dxa"/>
            <w:vAlign w:val="center"/>
            <w:textDirection w:val="lrTb"/>
            <w:noWrap w:val="false"/>
          </w:tcPr>
          <w:p>
            <w:pPr>
              <w:jc w:val="left"/>
              <w:rPr>
                <w:rFonts w:hint="eastAsia" w:ascii="宋体" w:hAnsi="宋体" w:cs="宋体"/>
                <w:color w:val="auto"/>
                <w:sz w:val="20"/>
                <w:szCs w:val="20"/>
              </w:rPr>
            </w:pPr>
            <w:r>
              <w:rPr>
                <w:rFonts w:hint="eastAsia" w:ascii="宋体" w:hAnsi="宋体" w:cs="宋体"/>
                <w:color w:val="auto"/>
                <w:sz w:val="20"/>
                <w:szCs w:val="20"/>
              </w:rPr>
              <w:t xml:space="preserve">含电源、HDMI、音频等接口。</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99</w:t>
            </w:r>
            <w:r/>
          </w:p>
        </w:tc>
        <w:tc>
          <w:tcPr>
            <w:tcW w:w="1448"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多媒体插座3</w:t>
            </w:r>
            <w:r/>
          </w:p>
        </w:tc>
        <w:tc>
          <w:tcPr>
            <w:tcW w:w="7696" w:type="dxa"/>
            <w:vAlign w:val="center"/>
            <w:textDirection w:val="lrTb"/>
            <w:noWrap w:val="false"/>
          </w:tcPr>
          <w:p>
            <w:pPr>
              <w:jc w:val="left"/>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含电源、卡侬头、HDMI、网络接口等接口。</w:t>
            </w:r>
            <w:r/>
          </w:p>
        </w:tc>
      </w:tr>
      <w:tr>
        <w:trPr>
          <w:cantSplit/>
          <w:trHeight w:val="90"/>
        </w:trPr>
        <w:tc>
          <w:tcPr>
            <w:tcW w:w="660" w:type="dxa"/>
            <w:vAlign w:val="center"/>
            <w:textDirection w:val="lrTb"/>
            <w:noWrap w:val="false"/>
          </w:tcPr>
          <w:p>
            <w:pPr>
              <w:jc w:val="center"/>
              <w:widowControl/>
              <w:rPr>
                <w:rFonts w:hint="eastAsia" w:ascii="宋体" w:hAnsi="宋体" w:cs="宋体"/>
                <w:color w:val="auto"/>
                <w:sz w:val="20"/>
                <w:szCs w:val="20"/>
                <w:lang w:bidi="ar"/>
              </w:rPr>
            </w:pPr>
            <w:r>
              <w:rPr>
                <w:rFonts w:hint="eastAsia" w:ascii="宋体" w:hAnsi="宋体" w:cs="宋体"/>
                <w:color w:val="auto"/>
                <w:sz w:val="20"/>
                <w:szCs w:val="20"/>
                <w:lang w:bidi="ar"/>
              </w:rPr>
              <w:t xml:space="preserve">100</w:t>
            </w:r>
            <w:r/>
          </w:p>
        </w:tc>
        <w:tc>
          <w:tcPr>
            <w:tcW w:w="1448" w:type="dxa"/>
            <w:vAlign w:val="center"/>
            <w:textDirection w:val="lrTb"/>
            <w:noWrap w:val="false"/>
          </w:tcPr>
          <w:p>
            <w:pPr>
              <w:jc w:val="center"/>
              <w:widowControl/>
              <w:rPr>
                <w:rFonts w:hint="eastAsia" w:ascii="宋体" w:hAnsi="宋体" w:cs="宋体"/>
                <w:color w:val="auto"/>
                <w:sz w:val="20"/>
                <w:szCs w:val="20"/>
              </w:rPr>
            </w:pPr>
            <w:r>
              <w:rPr>
                <w:rFonts w:hint="eastAsia" w:ascii="宋体" w:hAnsi="宋体" w:cs="宋体"/>
                <w:color w:val="auto"/>
                <w:sz w:val="20"/>
                <w:szCs w:val="20"/>
                <w:lang w:bidi="ar"/>
              </w:rPr>
              <w:t xml:space="preserve">系统集成</w:t>
            </w:r>
            <w:r/>
          </w:p>
        </w:tc>
        <w:tc>
          <w:tcPr>
            <w:tcW w:w="7696" w:type="dxa"/>
            <w:vAlign w:val="center"/>
            <w:textDirection w:val="lrTb"/>
            <w:noWrap w:val="false"/>
          </w:tcPr>
          <w:p>
            <w:pPr>
              <w:rPr>
                <w:rFonts w:hint="eastAsia" w:ascii="宋体" w:hAnsi="宋体" w:cs="宋体"/>
                <w:color w:val="auto"/>
                <w:sz w:val="20"/>
                <w:szCs w:val="20"/>
                <w:lang w:bidi="ar"/>
              </w:rPr>
            </w:pPr>
            <w:r>
              <w:rPr>
                <w:rFonts w:hint="eastAsia" w:ascii="宋体" w:hAnsi="宋体" w:cs="宋体"/>
                <w:color w:val="auto"/>
                <w:sz w:val="20"/>
                <w:szCs w:val="20"/>
                <w:lang w:bidi="ar"/>
              </w:rPr>
              <w:t xml:space="preserve">多媒体设备系统连接、调试及所需音视频线材等；培训服务。</w:t>
            </w:r>
            <w:r/>
          </w:p>
        </w:tc>
      </w:tr>
    </w:tbl>
    <w:p>
      <w:pPr>
        <w:ind w:firstLine="480"/>
        <w:spacing w:line="264" w:lineRule="auto"/>
        <w:rPr>
          <w:rFonts w:hint="eastAsia" w:ascii="宋体" w:hAnsi="宋体"/>
          <w:color w:val="auto"/>
          <w:sz w:val="24"/>
        </w:rPr>
      </w:pPr>
      <w:r>
        <w:rPr>
          <w:rFonts w:hint="eastAsia" w:ascii="宋体" w:hAnsi="宋体"/>
          <w:color w:val="auto"/>
          <w:sz w:val="24"/>
        </w:rPr>
      </w:r>
      <w:r/>
    </w:p>
    <w:p>
      <w:pPr>
        <w:ind w:firstLine="480"/>
        <w:spacing w:line="264" w:lineRule="auto"/>
        <w:rPr>
          <w:rFonts w:hint="eastAsia" w:ascii="宋体" w:hAnsi="宋体" w:cs="宋体"/>
          <w:bCs/>
          <w:color w:val="auto"/>
          <w:sz w:val="24"/>
          <w:szCs w:val="24"/>
        </w:rPr>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2.实施要求</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质保（维保）及售后要求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①本项目质保期三年，费用包在投标总价中（自验收报告签字确认日起，开始进入质保期）；</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②本项目所投产品使用软件授权终身使用及升级，费用包含在投标总价中。</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③供应商接到报修请求，2小时内响应，8小时内维修人员到达现场，质保期内故障报修24小时内无法及时修复的须提供备机。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④供应商在质保期内每学期结束前为学校进行整体维护一次，费用包含在投标总价中；</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w:t>
      </w:r>
      <w:r>
        <w:rPr>
          <w:rFonts w:hint="eastAsia" w:ascii="宋体" w:hAnsi="宋体" w:cs="宋体"/>
          <w:color w:val="auto"/>
          <w:sz w:val="24"/>
          <w:szCs w:val="24"/>
          <w:lang w:val="zh-CN"/>
        </w:rPr>
        <w:t xml:space="preserve">质保期后，供应商提供终生服务，保证零配件的供给。</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（2）验收要求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③验收的相关数据及中标产品信息，供应商应及时填入网络管理平台。</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（3）技术培训：</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①供应商对使用单位采购设备的使用和维护提供培训，培训的内容包括设备和软件的安装、使用以及软硬件基本维护知识。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②供应商签订合同时制定全面培训计划，要求分为使用培训、教学应用培训，方案中需提供具体培训安排、内容、讲义、考核计划等。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③供应商须提供培训讲义，培训学校管理人员不少于2人。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（4）平台监管要求：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④供应商须对所有进入固定资产的设备，按南京市的统一要求，通过“南京市教育装备项目管理平台”（南京市教育装备项目管理平台网址ttp://nj.cneefix.com）制作二维码标签，并张贴到设备上。</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⑤供应商须通过“南京市教育装备项目管理平台”提供售后维护维保服务。</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（5）安全要求：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（6）人员要求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本项目实施团队人员不少于5人，</w:t>
      </w:r>
      <w:r>
        <w:rPr>
          <w:rFonts w:hint="eastAsia" w:ascii="宋体" w:hAnsi="宋体" w:cs="宋体"/>
          <w:color w:val="auto"/>
          <w:sz w:val="24"/>
          <w:szCs w:val="24"/>
        </w:rPr>
        <w:t xml:space="preserve">其中项目经理1人</w:t>
      </w:r>
      <w:r>
        <w:rPr>
          <w:rFonts w:hint="eastAsia" w:ascii="宋体" w:hAnsi="宋体" w:cs="宋体"/>
          <w:bCs/>
          <w:color w:val="auto"/>
          <w:sz w:val="24"/>
          <w:szCs w:val="24"/>
        </w:rPr>
        <w:t xml:space="preserve">。</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（1）交付时间：合同签订后</w:t>
      </w:r>
      <w:r>
        <w:rPr>
          <w:rFonts w:hint="eastAsia" w:ascii="宋体" w:hAnsi="宋体" w:cs="宋体"/>
          <w:bCs/>
          <w:color w:val="auto"/>
          <w:sz w:val="24"/>
          <w:szCs w:val="24"/>
        </w:rPr>
        <w:t xml:space="preserve">60</w:t>
      </w:r>
      <w:r>
        <w:rPr>
          <w:rFonts w:ascii="宋体" w:hAnsi="宋体" w:cs="宋体"/>
          <w:color w:val="auto"/>
          <w:sz w:val="24"/>
          <w:szCs w:val="24"/>
        </w:rPr>
        <w:t xml:space="preserve">天内交付并完成安装调试及验收等相关工作</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5.其他要求</w:t>
      </w:r>
      <w:r/>
    </w:p>
    <w:p>
      <w:pPr>
        <w:ind w:firstLine="480"/>
        <w:spacing w:line="288" w:lineRule="auto"/>
        <w:rPr>
          <w:rFonts w:hint="eastAsia" w:ascii="宋体" w:hAnsi="宋体" w:cs="宋体"/>
          <w:color w:val="auto"/>
          <w:sz w:val="24"/>
          <w:szCs w:val="24"/>
        </w:rPr>
      </w:pPr>
      <w:r>
        <w:rPr>
          <w:rFonts w:hint="eastAsia" w:ascii="宋体" w:hAnsi="宋体" w:cs="宋体"/>
          <w:color w:val="auto"/>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88" w:lineRule="auto"/>
        <w:rPr>
          <w:rFonts w:hint="eastAsia"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招标文件评标方法与评标标准中涉及的相关证明材料，应在投标文件中提供，并由评审委员会在评审现场予以确认，否则无法得到相应分值。</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r>
      <w:r/>
    </w:p>
    <w:p>
      <w:pPr>
        <w:ind w:firstLine="480"/>
        <w:spacing w:line="264" w:lineRule="auto"/>
        <w:rPr>
          <w:rFonts w:hint="eastAsia" w:ascii="宋体" w:hAnsi="宋体" w:cs="宋体"/>
          <w:color w:val="auto"/>
          <w:sz w:val="24"/>
          <w:szCs w:val="24"/>
        </w:rPr>
      </w:pPr>
      <w:r>
        <w:rPr>
          <w:rFonts w:hint="eastAsia" w:ascii="宋体" w:hAnsi="宋体" w:cs="宋体"/>
          <w:bCs/>
          <w:color w:val="auto"/>
          <w:sz w:val="24"/>
          <w:szCs w:val="24"/>
        </w:rPr>
        <w:t xml:space="preserve">（三）</w:t>
      </w:r>
      <w:r>
        <w:rPr>
          <w:rFonts w:hint="eastAsia" w:ascii="宋体" w:hAnsi="宋体" w:cs="宋体"/>
          <w:color w:val="auto"/>
          <w:sz w:val="24"/>
          <w:szCs w:val="24"/>
        </w:rPr>
        <w:t xml:space="preserve">演示要求</w:t>
      </w:r>
      <w:r/>
    </w:p>
    <w:p>
      <w:pPr>
        <w:ind w:firstLine="480"/>
        <w:spacing w:line="288" w:lineRule="auto"/>
        <w:rPr>
          <w:rFonts w:hint="eastAsia" w:ascii="宋体" w:hAnsi="宋体" w:cs="宋体"/>
          <w:color w:val="auto"/>
          <w:sz w:val="24"/>
          <w:szCs w:val="24"/>
        </w:rPr>
      </w:pPr>
      <w:r>
        <w:rPr>
          <w:rFonts w:hint="eastAsia" w:ascii="宋体" w:hAnsi="宋体" w:cs="宋体"/>
          <w:color w:val="auto"/>
          <w:sz w:val="24"/>
          <w:szCs w:val="24"/>
        </w:rPr>
        <w:t xml:space="preserve">1.视频文件的格式为*.mp4或*.avi，供应商须将视频文件压缩为*.zip文件上传（</w:t>
      </w:r>
      <w:r>
        <w:rPr>
          <w:rFonts w:hint="eastAsia" w:ascii="宋体" w:hAnsi="宋体"/>
          <w:color w:val="auto"/>
          <w:sz w:val="24"/>
          <w:szCs w:val="24"/>
        </w:rPr>
        <w:t xml:space="preserve">单个文件不得大于50M，大于50M的需分段压缩，所有文件合计不得大于300M</w:t>
      </w:r>
      <w:r>
        <w:rPr>
          <w:rFonts w:hint="eastAsia" w:ascii="宋体" w:hAnsi="宋体" w:cs="宋体"/>
          <w:color w:val="auto"/>
          <w:sz w:val="24"/>
          <w:szCs w:val="24"/>
        </w:rPr>
        <w:t xml:space="preserve">）。文件上传方式见《操作手册》，上传的演示视频将作为投标文件的组成部分。视频时长总计不超过10分钟。</w:t>
      </w:r>
      <w:r/>
    </w:p>
    <w:p>
      <w:pPr>
        <w:ind w:firstLine="480"/>
        <w:spacing w:line="288" w:lineRule="auto"/>
        <w:rPr>
          <w:rFonts w:hint="eastAsia" w:ascii="宋体" w:hAnsi="宋体"/>
          <w:color w:val="auto"/>
          <w:sz w:val="24"/>
          <w:szCs w:val="24"/>
        </w:rPr>
      </w:pPr>
      <w:r>
        <w:rPr>
          <w:rFonts w:hint="eastAsia" w:ascii="宋体" w:hAnsi="宋体"/>
          <w:color w:val="auto"/>
          <w:sz w:val="24"/>
          <w:szCs w:val="24"/>
        </w:rPr>
        <w:t xml:space="preserve">2.演示内容详见“第五章  评标方法与评标标准”。</w:t>
      </w:r>
      <w:r/>
    </w:p>
    <w:p>
      <w:pPr>
        <w:pStyle w:val="702"/>
        <w:rPr>
          <w:color w:val="auto"/>
        </w:rPr>
      </w:pPr>
      <w:r>
        <w:rPr>
          <w:color w:val="auto"/>
        </w:rPr>
      </w:r>
      <w:r/>
    </w:p>
    <w:p>
      <w:pPr>
        <w:rPr>
          <w:rFonts w:hint="eastAsia" w:ascii="宋体" w:hAnsi="宋体" w:cs="宋体"/>
          <w:color w:val="auto"/>
          <w:sz w:val="24"/>
          <w:szCs w:val="24"/>
        </w:rPr>
      </w:pPr>
      <w:r>
        <w:rPr>
          <w:rFonts w:hint="eastAsia" w:ascii="宋体" w:hAnsi="宋体" w:cs="宋体"/>
          <w:color w:val="auto"/>
          <w:sz w:val="24"/>
          <w:szCs w:val="24"/>
        </w:rPr>
      </w:r>
      <w:r/>
    </w:p>
    <w:p>
      <w:pPr>
        <w:ind w:right="840"/>
        <w:jc w:val="center"/>
        <w:rPr>
          <w:rFonts w:ascii="方正小标宋简体" w:hAnsi="方正小标宋简体" w:eastAsia="方正小标宋简体" w:cs="方正小标宋简体"/>
          <w:color w:val="auto"/>
          <w:sz w:val="36"/>
          <w:szCs w:val="36"/>
        </w:rPr>
      </w:pPr>
      <w:r/>
      <w:bookmarkStart w:id="197" w:name="_Toc120614281"/>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1.采用综合评分法，评标结果按评审后得分由高到低顺序排列。得分相同的，按投标报价由低到高顺序排列。得分且投标报价相同的，按“三、评标标准</w:t>
      </w:r>
      <w:r>
        <w:rPr>
          <w:rFonts w:hint="eastAsia" w:ascii="宋体" w:hAnsi="宋体"/>
          <w:color w:val="auto"/>
          <w:sz w:val="24"/>
          <w:szCs w:val="24"/>
        </w:rPr>
        <w:t xml:space="preserve">2.技术</w:t>
      </w:r>
      <w:r>
        <w:rPr>
          <w:rFonts w:hint="eastAsia" w:ascii="宋体" w:hAnsi="宋体" w:cs="宋体"/>
          <w:color w:val="auto"/>
          <w:sz w:val="24"/>
          <w:szCs w:val="24"/>
        </w:rPr>
        <w:t xml:space="preserve">”得分由高到低顺序排列。在投标文件满足招标文件全部实质性要求的供应商中，按照评审得分由高到低推荐</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p>
    <w:p>
      <w:pPr>
        <w:ind w:firstLine="480"/>
        <w:spacing w:line="264" w:lineRule="auto"/>
        <w:rPr>
          <w:rFonts w:hint="eastAsia"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本项目全部货物制造商为小微企业的，</w:t>
      </w:r>
      <w:r>
        <w:rPr>
          <w:rFonts w:hint="eastAsia" w:ascii="宋体" w:hAnsi="宋体" w:cs="宋体"/>
          <w:color w:val="auto"/>
          <w:sz w:val="24"/>
          <w:szCs w:val="24"/>
        </w:rPr>
        <w:t xml:space="preserve">对报价给予</w:t>
      </w:r>
      <w:r>
        <w:rPr>
          <w:rFonts w:hint="eastAsia" w:ascii="宋体" w:hAnsi="宋体"/>
          <w:color w:val="auto"/>
          <w:sz w:val="24"/>
          <w:szCs w:val="24"/>
          <w:lang w:val="zh-CN"/>
        </w:rPr>
        <w:t xml:space="preserve">10%</w:t>
      </w:r>
      <w:r>
        <w:rPr>
          <w:rFonts w:hint="eastAsia" w:ascii="宋体" w:hAnsi="宋体" w:cs="宋体"/>
          <w:color w:val="auto"/>
          <w:sz w:val="24"/>
          <w:szCs w:val="24"/>
        </w:rPr>
        <w:t xml:space="preserve">的扣除，用扣除后的价格参与评审。</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color w:val="auto"/>
          <w:sz w:val="24"/>
          <w:szCs w:val="24"/>
        </w:rPr>
      </w:pPr>
      <w:r>
        <w:rPr>
          <w:rFonts w:hint="eastAsia" w:ascii="宋体" w:hAnsi="宋体" w:cs="宋体"/>
          <w:b/>
          <w:bCs/>
          <w:color w:val="auto"/>
          <w:sz w:val="24"/>
          <w:szCs w:val="24"/>
        </w:rPr>
        <w:t xml:space="preserve">3.上述价格扣除政策仅适用于“非专门面向中小企业采购项目”</w:t>
      </w:r>
      <w:r>
        <w:rPr>
          <w:rFonts w:hint="eastAsia" w:ascii="宋体" w:hAnsi="宋体" w:cs="宋体"/>
          <w:color w:val="auto"/>
          <w:sz w:val="24"/>
          <w:szCs w:val="24"/>
        </w:rPr>
        <w:t xml:space="preserve">。</w:t>
      </w:r>
      <w:r/>
    </w:p>
    <w:p>
      <w:pPr>
        <w:ind w:firstLine="480"/>
        <w:spacing w:line="264" w:lineRule="auto"/>
        <w:rPr>
          <w:color w:val="auto"/>
        </w:rPr>
      </w:pPr>
      <w:r>
        <w:rPr>
          <w:rFonts w:hint="eastAsia" w:ascii="黑体" w:hAnsi="黑体" w:eastAsia="黑体" w:cs="黑体"/>
          <w:color w:val="auto"/>
          <w:sz w:val="24"/>
          <w:szCs w:val="24"/>
        </w:rPr>
        <w:t xml:space="preserve">三、评标标准</w:t>
      </w:r>
      <w:r/>
    </w:p>
    <w:tbl>
      <w:tblPr>
        <w:tblStyle w:val="701"/>
        <w:tblW w:w="957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7"/>
        <w:gridCol w:w="1134"/>
        <w:gridCol w:w="6378"/>
        <w:gridCol w:w="709"/>
        <w:gridCol w:w="678"/>
      </w:tblGrid>
      <w:tr>
        <w:trPr>
          <w:jc w:val="center"/>
          <w:trHeight w:val="501"/>
          <w:tblHeader/>
        </w:trPr>
        <w:tc>
          <w:tcPr>
            <w:tcW w:w="677" w:type="dxa"/>
            <w:vAlign w:val="center"/>
            <w:textDirection w:val="lrTb"/>
            <w:noWrap w:val="false"/>
          </w:tcPr>
          <w:p>
            <w:pPr>
              <w:jc w:val="center"/>
              <w:spacing w:before="68" w:line="264" w:lineRule="auto"/>
              <w:rPr>
                <w:rFonts w:hint="eastAsia" w:ascii="宋体" w:hAnsi="宋体" w:cs="宋体"/>
                <w:b/>
                <w:bCs/>
                <w:color w:val="auto"/>
                <w:spacing w:val="-3"/>
              </w:rPr>
            </w:pPr>
            <w:r>
              <w:rPr>
                <w:rFonts w:hint="eastAsia" w:ascii="宋体" w:hAnsi="宋体" w:cs="宋体"/>
                <w:b/>
                <w:bCs/>
                <w:color w:val="auto"/>
                <w:spacing w:val="-3"/>
              </w:rPr>
              <w:t xml:space="preserve">序号</w:t>
            </w:r>
            <w:r/>
          </w:p>
        </w:tc>
        <w:tc>
          <w:tcPr>
            <w:tcW w:w="1134" w:type="dxa"/>
            <w:vAlign w:val="center"/>
            <w:textDirection w:val="lrTb"/>
            <w:noWrap w:val="false"/>
          </w:tcPr>
          <w:p>
            <w:pPr>
              <w:jc w:val="center"/>
              <w:spacing w:before="68" w:line="264" w:lineRule="auto"/>
              <w:rPr>
                <w:rFonts w:hint="eastAsia" w:ascii="宋体" w:hAnsi="宋体" w:cs="宋体"/>
                <w:b/>
                <w:bCs/>
                <w:color w:val="auto"/>
                <w:spacing w:val="-3"/>
              </w:rPr>
            </w:pPr>
            <w:r>
              <w:rPr>
                <w:rFonts w:hint="eastAsia" w:ascii="宋体" w:hAnsi="宋体" w:cs="宋体"/>
                <w:b/>
                <w:bCs/>
                <w:color w:val="auto"/>
                <w:spacing w:val="-3"/>
              </w:rPr>
              <w:t xml:space="preserve">评审因素</w:t>
            </w:r>
            <w:r/>
          </w:p>
        </w:tc>
        <w:tc>
          <w:tcPr>
            <w:tcW w:w="6378" w:type="dxa"/>
            <w:vAlign w:val="center"/>
            <w:textDirection w:val="lrTb"/>
            <w:noWrap w:val="false"/>
          </w:tcPr>
          <w:p>
            <w:pPr>
              <w:jc w:val="center"/>
              <w:spacing w:before="68" w:line="264" w:lineRule="auto"/>
              <w:rPr>
                <w:rFonts w:hint="eastAsia" w:ascii="宋体" w:hAnsi="宋体" w:cs="宋体"/>
                <w:b/>
                <w:bCs/>
                <w:color w:val="auto"/>
                <w:spacing w:val="-3"/>
              </w:rPr>
            </w:pPr>
            <w:r>
              <w:rPr>
                <w:rFonts w:hint="eastAsia" w:ascii="宋体" w:hAnsi="宋体" w:cs="宋体"/>
                <w:b/>
                <w:bCs/>
                <w:color w:val="auto"/>
                <w:spacing w:val="-3"/>
              </w:rPr>
              <w:t xml:space="preserve">评审细则</w:t>
            </w:r>
            <w:r/>
          </w:p>
        </w:tc>
        <w:tc>
          <w:tcPr>
            <w:tcW w:w="709" w:type="dxa"/>
            <w:vAlign w:val="center"/>
            <w:textDirection w:val="lrTb"/>
            <w:noWrap w:val="false"/>
          </w:tcPr>
          <w:p>
            <w:pPr>
              <w:jc w:val="center"/>
              <w:spacing w:before="68" w:line="264" w:lineRule="auto"/>
              <w:rPr>
                <w:rFonts w:hint="eastAsia" w:ascii="宋体" w:hAnsi="宋体" w:cs="宋体"/>
                <w:b/>
                <w:bCs/>
                <w:color w:val="auto"/>
                <w:spacing w:val="-3"/>
              </w:rPr>
            </w:pPr>
            <w:r>
              <w:rPr>
                <w:rFonts w:hint="eastAsia" w:ascii="宋体" w:hAnsi="宋体" w:cs="宋体"/>
                <w:b/>
                <w:bCs/>
                <w:color w:val="auto"/>
                <w:spacing w:val="-3"/>
              </w:rPr>
              <w:t xml:space="preserve">分值</w:t>
            </w:r>
            <w:r/>
          </w:p>
        </w:tc>
        <w:tc>
          <w:tcPr>
            <w:tcW w:w="678" w:type="dxa"/>
            <w:vAlign w:val="center"/>
            <w:textDirection w:val="lrTb"/>
            <w:noWrap w:val="false"/>
          </w:tcPr>
          <w:p>
            <w:pPr>
              <w:jc w:val="center"/>
              <w:spacing w:before="68" w:line="264" w:lineRule="auto"/>
              <w:rPr>
                <w:rFonts w:hint="eastAsia" w:ascii="宋体" w:hAnsi="宋体" w:cs="宋体"/>
                <w:b/>
                <w:bCs/>
                <w:color w:val="auto"/>
                <w:spacing w:val="-3"/>
              </w:rPr>
            </w:pPr>
            <w:r>
              <w:rPr>
                <w:rFonts w:hint="eastAsia" w:ascii="宋体" w:hAnsi="宋体" w:cs="宋体"/>
                <w:b/>
                <w:bCs/>
                <w:color w:val="auto"/>
                <w:spacing w:val="-3"/>
              </w:rPr>
              <w:t xml:space="preserve">类型</w:t>
            </w:r>
            <w:r/>
          </w:p>
        </w:tc>
      </w:tr>
      <w:tr>
        <w:trPr>
          <w:jc w:val="center"/>
          <w:trHeight w:val="460"/>
        </w:trPr>
        <w:tc>
          <w:tcPr>
            <w:gridSpan w:val="5"/>
            <w:tcW w:w="9576" w:type="dxa"/>
            <w:textDirection w:val="lrTb"/>
            <w:noWrap w:val="false"/>
          </w:tcPr>
          <w:p>
            <w:pPr>
              <w:ind w:left="114"/>
              <w:spacing w:before="122" w:line="264" w:lineRule="auto"/>
              <w:rPr>
                <w:rFonts w:hint="eastAsia" w:ascii="宋体" w:hAnsi="宋体" w:cs="宋体"/>
                <w:color w:val="auto"/>
              </w:rPr>
            </w:pPr>
            <w:r>
              <w:rPr>
                <w:rFonts w:hint="eastAsia" w:ascii="宋体" w:hAnsi="宋体" w:cs="宋体"/>
                <w:b/>
                <w:bCs/>
                <w:color w:val="auto"/>
                <w:spacing w:val="-3"/>
              </w:rPr>
              <w:t xml:space="preserve">1.价</w:t>
            </w:r>
            <w:r>
              <w:rPr>
                <w:rFonts w:hint="eastAsia" w:ascii="宋体" w:hAnsi="宋体" w:cs="宋体"/>
                <w:b/>
                <w:bCs/>
                <w:color w:val="auto"/>
                <w:spacing w:val="-2"/>
              </w:rPr>
              <w:t xml:space="preserve">格</w:t>
            </w:r>
            <w:r/>
          </w:p>
        </w:tc>
      </w:tr>
      <w:tr>
        <w:trPr>
          <w:jc w:val="center"/>
          <w:trHeight w:val="1030"/>
        </w:trPr>
        <w:tc>
          <w:tcPr>
            <w:tcW w:w="67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1</w:t>
            </w:r>
            <w:r>
              <w:rPr>
                <w:rFonts w:hint="eastAsia" w:ascii="宋体" w:hAnsi="宋体" w:cs="宋体"/>
                <w:color w:val="auto"/>
                <w:spacing w:val="-5"/>
              </w:rPr>
              <w:t xml:space="preserve">.1</w:t>
            </w:r>
            <w:r/>
          </w:p>
        </w:tc>
        <w:tc>
          <w:tcPr>
            <w:tcW w:w="1134" w:type="dxa"/>
            <w:vAlign w:val="center"/>
            <w:textDirection w:val="lrTb"/>
            <w:noWrap w:val="false"/>
          </w:tcPr>
          <w:p>
            <w:pPr>
              <w:jc w:val="left"/>
              <w:spacing w:before="68" w:line="264" w:lineRule="auto"/>
              <w:rPr>
                <w:rFonts w:hint="eastAsia" w:ascii="宋体" w:hAnsi="宋体" w:cs="宋体"/>
                <w:color w:val="auto"/>
              </w:rPr>
            </w:pPr>
            <w:r>
              <w:rPr>
                <w:rFonts w:hint="eastAsia" w:ascii="宋体" w:hAnsi="宋体" w:cs="宋体"/>
                <w:color w:val="auto"/>
                <w:spacing w:val="-2"/>
              </w:rPr>
              <w:t xml:space="preserve">价格分</w:t>
            </w:r>
            <w:r/>
          </w:p>
        </w:tc>
        <w:tc>
          <w:tcPr>
            <w:tcW w:w="6378"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spacing w:val="1"/>
              </w:rPr>
              <w:t xml:space="preserve">采用低价优先</w:t>
            </w:r>
            <w:r>
              <w:rPr>
                <w:rFonts w:hint="eastAsia" w:ascii="宋体" w:hAnsi="宋体" w:cs="宋体"/>
                <w:color w:val="auto"/>
              </w:rPr>
              <w:t xml:space="preserve">法计算，即满足招标文件要求且投标价格最低的投标</w:t>
            </w:r>
            <w:r>
              <w:rPr>
                <w:rFonts w:hint="eastAsia" w:ascii="宋体" w:hAnsi="宋体" w:cs="宋体"/>
                <w:color w:val="auto"/>
                <w:spacing w:val="1"/>
              </w:rPr>
              <w:t xml:space="preserve">报价为评标基准</w:t>
            </w:r>
            <w:r>
              <w:rPr>
                <w:rFonts w:hint="eastAsia" w:ascii="宋体" w:hAnsi="宋体" w:cs="宋体"/>
                <w:color w:val="auto"/>
              </w:rPr>
              <w:t xml:space="preserve">价，其价格分为满分。其他投标人的价格分统一按</w:t>
            </w:r>
            <w:r>
              <w:rPr>
                <w:rFonts w:hint="eastAsia" w:ascii="宋体" w:hAnsi="宋体" w:cs="宋体"/>
                <w:color w:val="auto"/>
                <w:spacing w:val="-1"/>
              </w:rPr>
              <w:t xml:space="preserve">照下列公</w:t>
            </w:r>
            <w:r>
              <w:rPr>
                <w:rFonts w:hint="eastAsia" w:ascii="宋体" w:hAnsi="宋体" w:cs="宋体"/>
                <w:color w:val="auto"/>
              </w:rPr>
              <w:t xml:space="preserve">式计算：投标报价得分=(评标基准价/投标报价)×价格分值（小数点保留两位）</w:t>
            </w:r>
            <w:r/>
          </w:p>
        </w:tc>
        <w:tc>
          <w:tcPr>
            <w:tcW w:w="709"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30</w:t>
            </w:r>
            <w:r/>
          </w:p>
        </w:tc>
        <w:tc>
          <w:tcPr>
            <w:tcW w:w="678"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价格分</w:t>
            </w:r>
            <w:r/>
          </w:p>
        </w:tc>
      </w:tr>
      <w:tr>
        <w:trPr>
          <w:jc w:val="center"/>
          <w:trHeight w:val="460"/>
        </w:trPr>
        <w:tc>
          <w:tcPr>
            <w:gridSpan w:val="5"/>
            <w:tcW w:w="9576" w:type="dxa"/>
            <w:textDirection w:val="lrTb"/>
            <w:noWrap w:val="false"/>
          </w:tcPr>
          <w:p>
            <w:pPr>
              <w:ind w:left="114"/>
              <w:spacing w:before="123" w:line="264" w:lineRule="auto"/>
              <w:rPr>
                <w:rFonts w:hint="eastAsia" w:ascii="宋体" w:hAnsi="宋体" w:cs="宋体"/>
                <w:color w:val="auto"/>
              </w:rPr>
            </w:pPr>
            <w:r>
              <w:rPr>
                <w:rFonts w:hint="eastAsia" w:ascii="宋体" w:hAnsi="宋体" w:cs="宋体"/>
                <w:b/>
                <w:bCs/>
                <w:color w:val="auto"/>
                <w:spacing w:val="-3"/>
              </w:rPr>
              <w:t xml:space="preserve">2.技术</w:t>
            </w:r>
            <w:r/>
          </w:p>
        </w:tc>
      </w:tr>
      <w:tr>
        <w:trPr>
          <w:jc w:val="center"/>
          <w:trHeight w:val="891"/>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2.1</w:t>
            </w:r>
            <w:r/>
          </w:p>
        </w:tc>
        <w:tc>
          <w:tcPr>
            <w:tcW w:w="1134" w:type="dxa"/>
            <w:vAlign w:val="center"/>
            <w:textDirection w:val="lrTb"/>
            <w:noWrap w:val="false"/>
          </w:tcPr>
          <w:p>
            <w:pPr>
              <w:jc w:val="left"/>
              <w:spacing w:before="68" w:line="264" w:lineRule="auto"/>
              <w:rPr>
                <w:rFonts w:hint="eastAsia" w:ascii="宋体" w:hAnsi="宋体" w:cs="宋体"/>
                <w:color w:val="auto"/>
                <w:spacing w:val="-2"/>
              </w:rPr>
            </w:pPr>
            <w:r>
              <w:rPr>
                <w:rFonts w:hint="eastAsia" w:ascii="宋体" w:hAnsi="宋体" w:cs="宋体"/>
                <w:color w:val="auto"/>
                <w:spacing w:val="-2"/>
              </w:rPr>
              <w:t xml:space="preserve">产品技术参数</w:t>
            </w:r>
            <w:r/>
          </w:p>
        </w:tc>
        <w:tc>
          <w:tcPr>
            <w:tcW w:w="6378" w:type="dxa"/>
            <w:vAlign w:val="center"/>
            <w:textDirection w:val="lrTb"/>
            <w:noWrap w:val="false"/>
          </w:tcPr>
          <w:p>
            <w:pPr>
              <w:spacing w:line="264" w:lineRule="auto"/>
              <w:rPr>
                <w:rFonts w:hint="eastAsia" w:ascii="宋体" w:hAnsi="宋体" w:cs="宋体"/>
                <w:color w:val="auto"/>
                <w:spacing w:val="1"/>
              </w:rPr>
            </w:pPr>
            <w:r>
              <w:rPr>
                <w:rFonts w:hint="eastAsia" w:ascii="宋体" w:hAnsi="宋体" w:cs="宋体"/>
                <w:color w:val="auto"/>
              </w:rPr>
              <w:t xml:space="preserve">产品技术参数全部满足招标要求的得满分，打★指标为必须满足项，如有负偏离将作为无效投标，打▲指标为重要指标，有1项负偏离扣2分，其余指标有1项负偏离扣1分，扣完为止。</w:t>
            </w:r>
            <w:r/>
          </w:p>
        </w:tc>
        <w:tc>
          <w:tcPr>
            <w:tcW w:w="709"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35</w:t>
            </w:r>
            <w:r/>
          </w:p>
        </w:tc>
        <w:tc>
          <w:tcPr>
            <w:tcW w:w="678"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2</w:t>
            </w:r>
            <w:r/>
          </w:p>
        </w:tc>
        <w:tc>
          <w:tcPr>
            <w:tcW w:w="1134" w:type="dxa"/>
            <w:vAlign w:val="center"/>
            <w:textDirection w:val="lrTb"/>
            <w:noWrap w:val="false"/>
          </w:tcPr>
          <w:p>
            <w:pPr>
              <w:jc w:val="left"/>
              <w:spacing w:before="68" w:line="264" w:lineRule="auto"/>
              <w:rPr>
                <w:rFonts w:hint="eastAsia" w:ascii="宋体" w:hAnsi="宋体" w:cs="宋体"/>
                <w:color w:val="auto"/>
                <w:spacing w:val="-2"/>
              </w:rPr>
            </w:pPr>
            <w:r>
              <w:rPr>
                <w:rFonts w:hint="eastAsia" w:ascii="宋体" w:hAnsi="宋体" w:cs="宋体"/>
                <w:color w:val="auto"/>
                <w:spacing w:val="-2"/>
              </w:rPr>
              <w:t xml:space="preserve">软著证书</w:t>
            </w:r>
            <w:r/>
          </w:p>
        </w:tc>
        <w:tc>
          <w:tcPr>
            <w:tcW w:w="6378"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1、“配电箱1”（项目清单16）可通过软件进行相关操作，操作软件具有计算机软件著作权登记证书的，得2分，未提供不得分。（提供计算机软件著作权登记证书电子件）</w:t>
            </w:r>
            <w:r/>
          </w:p>
        </w:tc>
        <w:tc>
          <w:tcPr>
            <w:tcW w:w="709"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2</w:t>
            </w:r>
            <w:r/>
          </w:p>
        </w:tc>
        <w:tc>
          <w:tcPr>
            <w:tcW w:w="678"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889"/>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2.3</w:t>
            </w:r>
            <w:r/>
          </w:p>
        </w:tc>
        <w:tc>
          <w:tcPr>
            <w:tcW w:w="1134" w:type="dxa"/>
            <w:vAlign w:val="center"/>
            <w:textDirection w:val="lrTb"/>
            <w:noWrap w:val="false"/>
          </w:tcPr>
          <w:p>
            <w:pPr>
              <w:jc w:val="left"/>
              <w:spacing w:before="68" w:line="264" w:lineRule="auto"/>
              <w:rPr>
                <w:rFonts w:hint="eastAsia" w:ascii="宋体" w:hAnsi="宋体" w:cs="宋体"/>
                <w:color w:val="auto"/>
                <w:spacing w:val="-2"/>
              </w:rPr>
            </w:pPr>
            <w:r>
              <w:rPr>
                <w:rFonts w:hint="eastAsia" w:ascii="宋体" w:hAnsi="宋体" w:cs="宋体"/>
                <w:color w:val="auto"/>
                <w:spacing w:val="-2"/>
              </w:rPr>
              <w:t xml:space="preserve">检测报告</w:t>
            </w:r>
            <w:r/>
          </w:p>
        </w:tc>
        <w:tc>
          <w:tcPr>
            <w:tcW w:w="6378"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1、所投“视频处理器1”（项目清单9）：</w:t>
            </w:r>
            <w:r/>
          </w:p>
          <w:p>
            <w:pPr>
              <w:spacing w:line="264" w:lineRule="auto"/>
              <w:rPr>
                <w:rFonts w:hint="eastAsia" w:ascii="宋体" w:hAnsi="宋体" w:cs="宋体"/>
                <w:color w:val="auto"/>
              </w:rPr>
            </w:pPr>
            <w:r>
              <w:rPr>
                <w:rFonts w:hint="eastAsia" w:ascii="宋体" w:hAnsi="宋体" w:cs="宋体"/>
                <w:color w:val="auto"/>
              </w:rPr>
              <w:t xml:space="preserve">支持智能节能功能，自动检测当前环境是否有人，无人时自动调暗屏幕画面或黑屏；支持同时接入3个以上人体检测传感器；支持设置从无人到熄屏的时间；支持防动物误触发；支持无视频信号输入时，自动黑屏，全部满足要求得1分；</w:t>
            </w:r>
            <w:r/>
          </w:p>
          <w:p>
            <w:pPr>
              <w:spacing w:line="264" w:lineRule="auto"/>
              <w:rPr>
                <w:rFonts w:hint="eastAsia" w:ascii="宋体" w:hAnsi="宋体" w:cs="宋体"/>
                <w:color w:val="auto"/>
              </w:rPr>
            </w:pPr>
            <w:r>
              <w:rPr>
                <w:rFonts w:hint="eastAsia" w:ascii="宋体" w:hAnsi="宋体" w:cs="宋体"/>
                <w:color w:val="auto"/>
              </w:rPr>
              <w:t xml:space="preserve">2、所投“视频处理器3”（项目清单11）：</w:t>
            </w:r>
            <w:r/>
          </w:p>
          <w:p>
            <w:pPr>
              <w:spacing w:line="264" w:lineRule="auto"/>
              <w:rPr>
                <w:rFonts w:hint="eastAsia" w:ascii="宋体" w:hAnsi="宋体" w:cs="宋体"/>
                <w:color w:val="auto"/>
              </w:rPr>
            </w:pPr>
            <w:r>
              <w:rPr>
                <w:rFonts w:hint="eastAsia" w:ascii="宋体" w:hAnsi="宋体" w:cs="宋体"/>
                <w:color w:val="auto"/>
              </w:rPr>
              <w:t xml:space="preserve">支持智能火情预警功能，自动检测当前环境是否存在高温火点，当出现火情时，自动断开大屏电源，防止火情随着电流快速蔓延，支持3个以上火情检测传感器，全部满足要求得1分；</w:t>
            </w:r>
            <w:r/>
          </w:p>
          <w:p>
            <w:pPr>
              <w:spacing w:line="264" w:lineRule="auto"/>
              <w:rPr>
                <w:rFonts w:hint="eastAsia" w:ascii="宋体" w:hAnsi="宋体" w:cs="宋体"/>
                <w:color w:val="auto"/>
              </w:rPr>
            </w:pPr>
            <w:r>
              <w:rPr>
                <w:rFonts w:hint="eastAsia" w:ascii="宋体" w:hAnsi="宋体" w:cs="宋体"/>
                <w:color w:val="auto"/>
              </w:rPr>
              <w:t xml:space="preserve">3、所投“控制软件”（项目清单52）：</w:t>
            </w:r>
            <w:r/>
          </w:p>
          <w:p>
            <w:pPr>
              <w:spacing w:line="264" w:lineRule="auto"/>
              <w:rPr>
                <w:rFonts w:hint="eastAsia" w:ascii="宋体" w:hAnsi="宋体" w:cs="宋体"/>
                <w:color w:val="auto"/>
              </w:rPr>
            </w:pPr>
            <w:r>
              <w:rPr>
                <w:rFonts w:hint="eastAsia" w:ascii="宋体" w:hAnsi="宋体" w:cs="宋体"/>
                <w:color w:val="auto"/>
              </w:rPr>
              <w:t xml:space="preserve">支持平板多点触控及鼠标方式可视化控制LED设备，支持单台和批量操作，支持大屏开关、无人熄屏开关、大屏防火开关、亮度调节、OSD字幕、除湿开关，同时支持预案切换、信号源切换功能，全部满足要求得1分；</w:t>
            </w:r>
            <w:r/>
          </w:p>
          <w:p>
            <w:pPr>
              <w:spacing w:line="264" w:lineRule="auto"/>
              <w:rPr>
                <w:rFonts w:hint="eastAsia" w:ascii="宋体" w:hAnsi="宋体" w:cs="宋体"/>
                <w:color w:val="auto"/>
              </w:rPr>
            </w:pPr>
            <w:r>
              <w:rPr>
                <w:rFonts w:hint="eastAsia" w:ascii="宋体" w:hAnsi="宋体" w:cs="宋体"/>
                <w:color w:val="auto"/>
              </w:rPr>
              <w:t xml:space="preserve">4、所投“高清HDMI矩阵”（项目清单63）：</w:t>
            </w:r>
            <w:r/>
          </w:p>
          <w:p>
            <w:pPr>
              <w:spacing w:line="264" w:lineRule="auto"/>
              <w:rPr>
                <w:rFonts w:hint="eastAsia" w:ascii="宋体" w:hAnsi="宋体" w:cs="宋体"/>
                <w:color w:val="auto"/>
              </w:rPr>
            </w:pPr>
            <w:r>
              <w:rPr>
                <w:rFonts w:hint="eastAsia" w:ascii="宋体" w:hAnsi="宋体" w:cs="宋体"/>
                <w:color w:val="auto"/>
              </w:rPr>
              <w:t xml:space="preserve">支持可视化运维，自带≥8英寸液晶触摸面板，无需外接显示器可进行设备配置及系统运维，包括查看设备运行状态、设备温度、板卡状态（图形化显示出板卡的形态和插入槽位位置）、接口连接状态、风扇状态、电源状态、修改设备IP、查看设备版本等，全部满足要求得1分。</w:t>
            </w:r>
            <w:r/>
          </w:p>
          <w:p>
            <w:pPr>
              <w:spacing w:line="264" w:lineRule="auto"/>
              <w:rPr>
                <w:rFonts w:hint="eastAsia" w:ascii="宋体" w:hAnsi="宋体" w:cs="宋体"/>
                <w:color w:val="auto"/>
              </w:rPr>
            </w:pPr>
            <w:r>
              <w:rPr>
                <w:rFonts w:hint="eastAsia" w:ascii="宋体" w:hAnsi="宋体" w:cs="宋体"/>
                <w:color w:val="auto"/>
              </w:rPr>
              <w:t xml:space="preserve">备注：（1）投标人提供具有CMA标识的产品检测报告；（2）所提供检测报告中“产品名称和检测内容”与评分细则规定不同时，应提供符合上述要求的内容（功能）说明及关键信息，否则不予认可。为方便评委评审，功能参数可用箭头、标红或下划线等进行明显标注。</w:t>
            </w:r>
            <w:r/>
          </w:p>
        </w:tc>
        <w:tc>
          <w:tcPr>
            <w:tcW w:w="709"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4</w:t>
            </w:r>
            <w:r/>
          </w:p>
        </w:tc>
        <w:tc>
          <w:tcPr>
            <w:tcW w:w="678"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889"/>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2.4</w:t>
            </w:r>
            <w:r/>
          </w:p>
        </w:tc>
        <w:tc>
          <w:tcPr>
            <w:tcW w:w="1134" w:type="dxa"/>
            <w:vAlign w:val="center"/>
            <w:textDirection w:val="lrTb"/>
            <w:noWrap w:val="false"/>
          </w:tcPr>
          <w:p>
            <w:pPr>
              <w:jc w:val="left"/>
              <w:spacing w:before="68" w:line="264" w:lineRule="auto"/>
              <w:rPr>
                <w:rFonts w:hint="eastAsia" w:ascii="宋体" w:hAnsi="宋体" w:cs="宋体"/>
                <w:color w:val="auto"/>
                <w:spacing w:val="-2"/>
              </w:rPr>
            </w:pPr>
            <w:r>
              <w:rPr>
                <w:rFonts w:hint="eastAsia" w:ascii="宋体" w:hAnsi="宋体" w:cs="宋体"/>
                <w:color w:val="auto"/>
              </w:rPr>
              <w:t xml:space="preserve">视频演示</w:t>
            </w:r>
            <w:r/>
          </w:p>
        </w:tc>
        <w:tc>
          <w:tcPr>
            <w:tcW w:w="6378" w:type="dxa"/>
            <w:vAlign w:val="center"/>
            <w:textDirection w:val="lrTb"/>
            <w:noWrap w:val="false"/>
          </w:tcPr>
          <w:p>
            <w:pPr>
              <w:spacing w:line="264" w:lineRule="auto"/>
              <w:rPr>
                <w:rFonts w:hint="eastAsia" w:ascii="宋体" w:hAnsi="宋体" w:cs="宋体"/>
                <w:color w:val="auto"/>
                <w:lang w:val="zh-CN"/>
              </w:rPr>
            </w:pPr>
            <w:r>
              <w:rPr>
                <w:rFonts w:hint="eastAsia" w:ascii="宋体" w:hAnsi="宋体" w:cs="宋体"/>
                <w:color w:val="auto"/>
              </w:rPr>
              <w:t xml:space="preserve">评委根据投标人</w:t>
            </w:r>
            <w:r>
              <w:rPr>
                <w:rFonts w:hint="eastAsia" w:ascii="宋体" w:hAnsi="宋体" w:cs="宋体"/>
                <w:color w:val="auto"/>
                <w:lang w:val="zh-CN"/>
              </w:rPr>
              <w:t xml:space="preserve">提供</w:t>
            </w:r>
            <w:r>
              <w:rPr>
                <w:rFonts w:hint="eastAsia" w:ascii="宋体" w:hAnsi="宋体" w:cs="宋体"/>
                <w:color w:val="auto"/>
              </w:rPr>
              <w:t xml:space="preserve">的“控制软件”（项目清单52）产品视频演示情况综合评分（视频时长总计不超过10分钟）：</w:t>
            </w:r>
            <w:r/>
          </w:p>
          <w:p>
            <w:pPr>
              <w:pStyle w:val="844"/>
              <w:rPr>
                <w:rFonts w:hint="eastAsia" w:hAnsi="宋体" w:cs="宋体"/>
                <w:color w:val="auto"/>
              </w:rPr>
            </w:pPr>
            <w:r>
              <w:rPr>
                <w:rFonts w:hAnsi="宋体" w:cs="宋体"/>
                <w:color w:val="auto"/>
              </w:rPr>
              <w:t xml:space="preserve">一、</w:t>
            </w:r>
            <w:r>
              <w:rPr>
                <w:rFonts w:hint="eastAsia" w:hAnsi="宋体" w:cs="宋体"/>
                <w:color w:val="auto"/>
              </w:rPr>
              <w:t xml:space="preserve">自定义布局功能：</w:t>
            </w:r>
            <w:r/>
          </w:p>
          <w:p>
            <w:pPr>
              <w:pStyle w:val="844"/>
              <w:rPr>
                <w:rFonts w:hint="eastAsia" w:hAnsi="宋体" w:cs="宋体"/>
                <w:color w:val="auto"/>
              </w:rPr>
            </w:pPr>
            <w:r>
              <w:rPr>
                <w:rFonts w:hint="eastAsia" w:hAnsi="宋体" w:cs="宋体"/>
                <w:color w:val="auto"/>
              </w:rPr>
              <w:t xml:space="preserve">1、无需其他配置工具，直接在软件设置界面，可通过拖拽组件的方式自定义布局，支持</w:t>
            </w:r>
            <w:r>
              <w:rPr>
                <w:rFonts w:hAnsi="宋体" w:cs="宋体"/>
                <w:color w:val="auto"/>
              </w:rPr>
              <w:t xml:space="preserve">不少于</w:t>
            </w:r>
            <w:r>
              <w:rPr>
                <w:rFonts w:hint="eastAsia" w:hAnsi="宋体" w:cs="宋体"/>
                <w:color w:val="auto"/>
              </w:rPr>
              <w:t xml:space="preserve">18个功能组件可选，同时支持</w:t>
            </w:r>
            <w:r>
              <w:rPr>
                <w:rFonts w:hAnsi="宋体" w:cs="宋体"/>
                <w:color w:val="auto"/>
              </w:rPr>
              <w:t xml:space="preserve">不少于</w:t>
            </w:r>
            <w:r>
              <w:rPr>
                <w:rFonts w:hint="eastAsia" w:hAnsi="宋体" w:cs="宋体"/>
                <w:color w:val="auto"/>
              </w:rPr>
              <w:t xml:space="preserve">6个组件进行叠加组合，支持保存为新的布局名称，支持多个布局切换；</w:t>
            </w:r>
            <w:r/>
          </w:p>
          <w:p>
            <w:pPr>
              <w:pStyle w:val="844"/>
              <w:rPr>
                <w:rFonts w:hint="eastAsia" w:hAnsi="宋体" w:cs="宋体"/>
                <w:color w:val="auto"/>
              </w:rPr>
            </w:pPr>
            <w:r>
              <w:rPr>
                <w:rFonts w:hint="eastAsia" w:hAnsi="宋体" w:cs="宋体"/>
                <w:color w:val="auto"/>
              </w:rPr>
              <w:t xml:space="preserve">2、可根据用户使用习惯来切换左手模式和右手模式，改变信号源列表的位置，也可设置信号列表隐藏及宽度大小</w:t>
            </w:r>
            <w:r>
              <w:rPr>
                <w:rFonts w:hAnsi="宋体" w:cs="宋体"/>
                <w:color w:val="auto"/>
              </w:rPr>
              <w:t xml:space="preserve">；</w:t>
            </w:r>
            <w:r/>
          </w:p>
          <w:p>
            <w:pPr>
              <w:pStyle w:val="844"/>
              <w:rPr>
                <w:rFonts w:hint="eastAsia" w:hAnsi="宋体" w:cs="宋体"/>
                <w:color w:val="auto"/>
              </w:rPr>
            </w:pPr>
            <w:r>
              <w:rPr>
                <w:rFonts w:hint="eastAsia" w:hAnsi="宋体" w:cs="宋体"/>
                <w:color w:val="auto"/>
              </w:rPr>
              <w:t xml:space="preserve">3、信号列表中的信号支持模糊搜索，并可实时预览画面，可设置信号的展示顺序</w:t>
            </w:r>
            <w:r>
              <w:rPr>
                <w:rFonts w:hAnsi="宋体" w:cs="宋体"/>
                <w:color w:val="auto"/>
              </w:rPr>
              <w:t xml:space="preserve">。</w:t>
            </w:r>
            <w:r/>
          </w:p>
          <w:p>
            <w:pPr>
              <w:pStyle w:val="844"/>
              <w:rPr>
                <w:rFonts w:hint="eastAsia" w:hAnsi="宋体" w:cs="宋体"/>
                <w:color w:val="auto"/>
              </w:rPr>
            </w:pPr>
            <w:r>
              <w:rPr>
                <w:rFonts w:hint="eastAsia" w:hAnsi="宋体" w:cs="宋体"/>
                <w:color w:val="auto"/>
              </w:rPr>
              <w:t xml:space="preserve">二、可视化网页控制功能：</w:t>
            </w:r>
            <w:r/>
          </w:p>
          <w:p>
            <w:pPr>
              <w:pStyle w:val="844"/>
              <w:rPr>
                <w:rFonts w:hint="eastAsia" w:hAnsi="宋体" w:cs="宋体"/>
                <w:color w:val="auto"/>
              </w:rPr>
            </w:pPr>
            <w:r>
              <w:rPr>
                <w:rFonts w:hint="eastAsia" w:hAnsi="宋体" w:cs="宋体"/>
                <w:color w:val="auto"/>
              </w:rPr>
              <w:t xml:space="preserve">4、支持在软件界面控制打开可视化数据网页，在演示讲解时，通过平板</w:t>
            </w:r>
            <w:r>
              <w:rPr>
                <w:rFonts w:hAnsi="宋体" w:cs="宋体"/>
                <w:color w:val="auto"/>
              </w:rPr>
              <w:t xml:space="preserve">可</w:t>
            </w:r>
            <w:r>
              <w:rPr>
                <w:rFonts w:hint="eastAsia" w:hAnsi="宋体" w:cs="宋体"/>
                <w:color w:val="auto"/>
              </w:rPr>
              <w:t xml:space="preserve">直接进行回显和反控，包括数据可视化界面中中不同二级菜单的点击切换，地图的放大，旋转，移动以及文字的输入</w:t>
            </w:r>
            <w:r>
              <w:rPr>
                <w:rFonts w:hAnsi="宋体" w:cs="宋体"/>
                <w:color w:val="auto"/>
              </w:rPr>
              <w:t xml:space="preserve">。</w:t>
            </w:r>
            <w:r/>
          </w:p>
          <w:p>
            <w:pPr>
              <w:pStyle w:val="844"/>
              <w:rPr>
                <w:rFonts w:hint="eastAsia" w:hAnsi="宋体" w:cs="宋体"/>
                <w:color w:val="auto"/>
              </w:rPr>
            </w:pPr>
            <w:r>
              <w:rPr>
                <w:rFonts w:hint="eastAsia" w:hAnsi="宋体" w:cs="宋体"/>
                <w:color w:val="auto"/>
              </w:rPr>
              <w:t xml:space="preserve">三、电视墙实时和预编辑功能：</w:t>
            </w:r>
            <w:r/>
          </w:p>
          <w:p>
            <w:pPr>
              <w:pStyle w:val="844"/>
              <w:rPr>
                <w:rFonts w:hint="eastAsia" w:hAnsi="宋体" w:cs="宋体"/>
                <w:color w:val="auto"/>
              </w:rPr>
            </w:pPr>
            <w:r>
              <w:rPr>
                <w:rFonts w:hint="eastAsia" w:hAnsi="宋体" w:cs="宋体"/>
                <w:color w:val="auto"/>
              </w:rPr>
              <w:t xml:space="preserve">5、可视化软件在投屏时支持实时模式和预编辑模式，实时模式下，对大屏画面进行切换可以实时的同步；预编辑模式下，支持在可视化软件上先对大屏需要显示的画面进行编排，编辑时，大屏画面显示不受影响，编辑完成后，可一键同步至大屏。</w:t>
            </w:r>
            <w:r/>
          </w:p>
          <w:p>
            <w:pPr>
              <w:pStyle w:val="844"/>
              <w:rPr>
                <w:rFonts w:hint="eastAsia" w:hAnsi="宋体" w:cs="宋体"/>
                <w:color w:val="auto"/>
              </w:rPr>
            </w:pPr>
            <w:r>
              <w:rPr>
                <w:rFonts w:hint="eastAsia" w:hAnsi="宋体" w:cs="宋体"/>
                <w:color w:val="auto"/>
              </w:rPr>
              <w:t xml:space="preserve">四、桌面投屏应用功能：</w:t>
            </w:r>
            <w:r/>
          </w:p>
          <w:p>
            <w:pPr>
              <w:pStyle w:val="844"/>
              <w:rPr>
                <w:rFonts w:hint="eastAsia" w:hAnsi="宋体" w:cs="宋体"/>
                <w:color w:val="auto"/>
              </w:rPr>
            </w:pPr>
            <w:r>
              <w:rPr>
                <w:rFonts w:hint="eastAsia" w:hAnsi="宋体" w:cs="宋体"/>
                <w:color w:val="auto"/>
              </w:rPr>
              <w:t xml:space="preserve">6、支持调整画面的编码方式（CPU编码、GPU编码）、压缩方式（H264、H265）以及编码格式（YUV420、YUV444）；</w:t>
            </w:r>
            <w:r/>
          </w:p>
          <w:p>
            <w:pPr>
              <w:pStyle w:val="844"/>
              <w:rPr>
                <w:rFonts w:hint="eastAsia" w:hAnsi="宋体" w:cs="宋体"/>
                <w:color w:val="auto"/>
              </w:rPr>
            </w:pPr>
            <w:r>
              <w:rPr>
                <w:rFonts w:hint="eastAsia" w:hAnsi="宋体" w:cs="宋体"/>
                <w:color w:val="auto"/>
              </w:rPr>
              <w:t xml:space="preserve">7、支持对不同文件类型进行窗口采集，支持word、图片、视频、excel、txt、pdf、ppt、网页等不同的应用类型，可同时采集</w:t>
            </w:r>
            <w:r>
              <w:rPr>
                <w:rFonts w:hAnsi="宋体" w:cs="宋体"/>
                <w:color w:val="auto"/>
              </w:rPr>
              <w:t xml:space="preserve">≥</w:t>
            </w:r>
            <w:r>
              <w:rPr>
                <w:rFonts w:hint="eastAsia" w:hAnsi="宋体" w:cs="宋体"/>
                <w:color w:val="auto"/>
              </w:rPr>
              <w:t xml:space="preserve">8个任务窗口；</w:t>
            </w:r>
            <w:r/>
          </w:p>
          <w:p>
            <w:pPr>
              <w:pStyle w:val="844"/>
              <w:rPr>
                <w:rFonts w:hint="eastAsia" w:hAnsi="宋体" w:cs="宋体"/>
                <w:color w:val="auto"/>
              </w:rPr>
            </w:pPr>
            <w:r>
              <w:rPr>
                <w:rFonts w:hint="eastAsia" w:hAnsi="宋体" w:cs="宋体"/>
                <w:color w:val="auto"/>
              </w:rPr>
              <w:t xml:space="preserve">8、支持查看每个窗口采集画面的实时信息，包括帧序号、采集耗时、编码耗时、调度耗时、发送耗时、以及总耗时信息；</w:t>
            </w:r>
            <w:r/>
          </w:p>
          <w:p>
            <w:pPr>
              <w:pStyle w:val="844"/>
              <w:rPr>
                <w:rFonts w:hint="eastAsia" w:hAnsi="宋体" w:cs="宋体"/>
                <w:color w:val="auto"/>
              </w:rPr>
            </w:pPr>
            <w:r>
              <w:rPr>
                <w:rFonts w:hint="eastAsia" w:hAnsi="宋体" w:cs="宋体"/>
                <w:color w:val="auto"/>
              </w:rPr>
              <w:t xml:space="preserve">9、支持在软件界面对桌面操作进行录像操作，可以直接打开录像文件进行查看；支持局部采集，用户可根据需要自定义区域进行采集投屏显示</w:t>
            </w:r>
            <w:r>
              <w:rPr>
                <w:rFonts w:hAnsi="宋体" w:cs="宋体"/>
                <w:color w:val="auto"/>
              </w:rPr>
              <w:t xml:space="preserve">；</w:t>
            </w:r>
            <w:r/>
          </w:p>
          <w:p>
            <w:pPr>
              <w:pStyle w:val="844"/>
              <w:rPr>
                <w:rFonts w:hint="eastAsia" w:hAnsi="宋体" w:cs="宋体"/>
                <w:color w:val="auto"/>
              </w:rPr>
            </w:pPr>
            <w:r>
              <w:rPr>
                <w:rFonts w:hint="eastAsia" w:hAnsi="宋体" w:cs="宋体"/>
                <w:color w:val="auto"/>
              </w:rPr>
              <w:t xml:space="preserve">10、支持可视化软件远程控制电脑桌面的功能，可视化软件在将画面投屏后，可直接在界面上进入远程控制模式，可以对投屏的电脑进行远程控制。</w:t>
            </w:r>
            <w:r/>
          </w:p>
          <w:p>
            <w:pPr>
              <w:jc w:val="left"/>
              <w:spacing w:line="264" w:lineRule="auto"/>
              <w:rPr>
                <w:rFonts w:hint="eastAsia" w:ascii="宋体" w:hAnsi="宋体" w:cs="宋体"/>
                <w:color w:val="auto"/>
              </w:rPr>
            </w:pPr>
            <w:r>
              <w:rPr>
                <w:rFonts w:hAnsi="宋体" w:cs="宋体"/>
                <w:color w:val="auto"/>
              </w:rPr>
              <w:t xml:space="preserve">备注：</w:t>
            </w:r>
            <w:r>
              <w:rPr>
                <w:rFonts w:hint="eastAsia" w:ascii="宋体" w:hAnsi="宋体" w:cs="宋体"/>
                <w:color w:val="auto"/>
              </w:rPr>
              <w:t xml:space="preserve">以上每成功演示一项内容得0.5分，最多得5分。</w:t>
            </w:r>
            <w:r/>
          </w:p>
          <w:p>
            <w:pPr>
              <w:jc w:val="left"/>
              <w:spacing w:line="264" w:lineRule="auto"/>
              <w:rPr>
                <w:rFonts w:hint="eastAsia" w:ascii="宋体" w:hAnsi="宋体" w:cs="宋体"/>
                <w:color w:val="auto"/>
                <w:lang w:val="zh-CN"/>
              </w:rPr>
            </w:pPr>
            <w:r>
              <w:rPr>
                <w:rFonts w:hint="eastAsia" w:ascii="宋体" w:hAnsi="宋体" w:cs="宋体"/>
                <w:color w:val="auto"/>
              </w:rPr>
              <w:t xml:space="preserve">投标人未提供视频文件或因投标人自身原因视频文件无法打开或视频画面不清晰无法辨认的不得分。</w:t>
            </w:r>
            <w:r/>
          </w:p>
        </w:tc>
        <w:tc>
          <w:tcPr>
            <w:tcW w:w="709"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5</w:t>
            </w:r>
            <w:r/>
          </w:p>
        </w:tc>
        <w:tc>
          <w:tcPr>
            <w:tcW w:w="678"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472"/>
        </w:trPr>
        <w:tc>
          <w:tcPr>
            <w:gridSpan w:val="5"/>
            <w:tcW w:w="9576" w:type="dxa"/>
            <w:vAlign w:val="center"/>
            <w:textDirection w:val="lrTb"/>
            <w:noWrap w:val="false"/>
          </w:tcPr>
          <w:p>
            <w:pPr>
              <w:spacing w:before="68" w:line="264" w:lineRule="auto"/>
              <w:rPr>
                <w:rFonts w:hint="eastAsia" w:ascii="宋体" w:hAnsi="宋体" w:cs="宋体"/>
                <w:color w:val="auto"/>
              </w:rPr>
            </w:pPr>
            <w:r>
              <w:rPr>
                <w:rFonts w:hint="eastAsia" w:ascii="宋体" w:hAnsi="宋体" w:cs="宋体"/>
                <w:b/>
                <w:bCs/>
                <w:color w:val="auto"/>
                <w:spacing w:val="-3"/>
              </w:rPr>
              <w:t xml:space="preserve">3.服务</w:t>
            </w:r>
            <w:r/>
          </w:p>
        </w:tc>
      </w:tr>
      <w:tr>
        <w:trPr>
          <w:jc w:val="center"/>
          <w:trHeight w:val="1083"/>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3.1</w:t>
            </w:r>
            <w:r/>
          </w:p>
        </w:tc>
        <w:tc>
          <w:tcPr>
            <w:tcW w:w="1134"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spacing w:val="-2"/>
              </w:rPr>
              <w:t xml:space="preserve">技术方案</w:t>
            </w:r>
            <w:r/>
          </w:p>
        </w:tc>
        <w:tc>
          <w:tcPr>
            <w:tcW w:w="6378" w:type="dxa"/>
            <w:vAlign w:val="center"/>
            <w:textDirection w:val="lrTb"/>
            <w:noWrap w:val="false"/>
          </w:tcPr>
          <w:p>
            <w:pPr>
              <w:jc w:val="left"/>
              <w:spacing w:line="264" w:lineRule="auto"/>
              <w:rPr>
                <w:rFonts w:hint="eastAsia" w:ascii="宋体" w:hAnsi="宋体" w:cs="宋体"/>
                <w:color w:val="auto"/>
              </w:rPr>
            </w:pPr>
            <w:r>
              <w:rPr>
                <w:rFonts w:ascii="宋体" w:hAnsi="宋体" w:cs="宋体"/>
                <w:color w:val="auto"/>
                <w:lang w:val="zh-CN"/>
              </w:rPr>
              <w:t xml:space="preserve">评委根据投标人提供的项目</w:t>
            </w:r>
            <w:r>
              <w:rPr>
                <w:rFonts w:hint="eastAsia" w:ascii="宋体" w:hAnsi="宋体" w:cs="宋体"/>
                <w:color w:val="auto"/>
                <w:lang w:val="zh-CN"/>
              </w:rPr>
              <w:t xml:space="preserve">技术</w:t>
            </w:r>
            <w:r>
              <w:rPr>
                <w:rFonts w:ascii="宋体" w:hAnsi="宋体" w:cs="宋体"/>
                <w:color w:val="auto"/>
                <w:lang w:val="zh-CN"/>
              </w:rPr>
              <w:t xml:space="preserve">方案</w:t>
            </w:r>
            <w:r>
              <w:rPr>
                <w:rFonts w:hint="eastAsia" w:ascii="宋体" w:hAnsi="宋体" w:cs="宋体"/>
                <w:color w:val="auto"/>
              </w:rPr>
              <w:t xml:space="preserve">综合评分，包含1.设备的运输方案；2.设备的安装方案；3.设备的调试方案；4.技术服务指导方案；5.项目交付计划方案；6.各个系统功能及配置说明</w:t>
            </w:r>
            <w:r>
              <w:rPr>
                <w:rFonts w:hint="eastAsia" w:ascii="宋体" w:hAnsi="宋体" w:cs="宋体"/>
                <w:color w:val="auto"/>
                <w:lang w:val="zh-CN"/>
              </w:rPr>
              <w:t xml:space="preserve">。</w:t>
            </w:r>
            <w:r>
              <w:rPr>
                <w:rFonts w:hint="eastAsia" w:ascii="宋体" w:hAnsi="宋体" w:cs="宋体"/>
                <w:color w:val="auto"/>
              </w:rPr>
              <w:t xml:space="preserve">以上每项内容逐条阐述：</w:t>
            </w:r>
            <w:r>
              <w:rPr>
                <w:rFonts w:hint="eastAsia" w:ascii="宋体" w:hAnsi="宋体" w:cs="宋体"/>
                <w:color w:val="auto"/>
                <w:lang w:val="zh-CN"/>
              </w:rPr>
              <w:t xml:space="preserve"> </w:t>
            </w:r>
            <w:r/>
          </w:p>
          <w:p>
            <w:pPr>
              <w:jc w:val="left"/>
              <w:spacing w:line="264" w:lineRule="auto"/>
              <w:rPr>
                <w:rFonts w:hint="eastAsia" w:ascii="宋体" w:hAnsi="宋体" w:cs="宋体"/>
                <w:color w:val="auto"/>
              </w:rPr>
            </w:pPr>
            <w:r>
              <w:rPr>
                <w:rFonts w:hint="eastAsia" w:ascii="宋体" w:hAnsi="宋体" w:cs="宋体"/>
                <w:color w:val="auto"/>
                <w:lang w:val="zh-CN"/>
              </w:rPr>
              <w:t xml:space="preserve">（1）</w:t>
            </w:r>
            <w:r>
              <w:rPr>
                <w:rFonts w:hint="eastAsia" w:ascii="宋体" w:hAnsi="宋体" w:cs="宋体"/>
                <w:color w:val="auto"/>
              </w:rPr>
              <w:t xml:space="preserve">上述每项内容</w:t>
            </w:r>
            <w:r>
              <w:rPr>
                <w:rFonts w:hint="eastAsia" w:ascii="宋体" w:hAnsi="宋体" w:cs="宋体"/>
                <w:color w:val="auto"/>
                <w:lang w:val="zh-CN"/>
              </w:rPr>
              <w:t xml:space="preserve">完整、科学性、合理性、操作性强的，得</w:t>
            </w:r>
            <w:r>
              <w:rPr>
                <w:rFonts w:hint="eastAsia" w:ascii="宋体" w:hAnsi="宋体" w:cs="宋体"/>
                <w:color w:val="auto"/>
              </w:rPr>
              <w:t xml:space="preserve">1</w:t>
            </w:r>
            <w:r>
              <w:rPr>
                <w:rFonts w:hint="eastAsia" w:ascii="宋体" w:hAnsi="宋体" w:cs="宋体"/>
                <w:color w:val="auto"/>
                <w:lang w:val="zh-CN"/>
              </w:rPr>
              <w:t xml:space="preserve">分； </w:t>
            </w:r>
            <w:r/>
          </w:p>
          <w:p>
            <w:pPr>
              <w:jc w:val="left"/>
              <w:spacing w:line="264" w:lineRule="auto"/>
              <w:rPr>
                <w:rFonts w:hint="eastAsia" w:ascii="宋体" w:hAnsi="宋体" w:cs="宋体"/>
                <w:color w:val="auto"/>
              </w:rPr>
            </w:pPr>
            <w:r>
              <w:rPr>
                <w:rFonts w:hint="eastAsia" w:ascii="宋体" w:hAnsi="宋体" w:cs="宋体"/>
                <w:color w:val="auto"/>
                <w:lang w:val="zh-CN"/>
              </w:rPr>
              <w:t xml:space="preserve">（2）</w:t>
            </w:r>
            <w:r>
              <w:rPr>
                <w:rFonts w:hint="eastAsia" w:ascii="宋体" w:hAnsi="宋体" w:cs="宋体"/>
                <w:color w:val="auto"/>
              </w:rPr>
              <w:t xml:space="preserve">上述每项内容</w:t>
            </w:r>
            <w:r>
              <w:rPr>
                <w:rFonts w:hint="eastAsia" w:ascii="宋体" w:hAnsi="宋体" w:cs="宋体"/>
                <w:color w:val="auto"/>
                <w:lang w:val="zh-CN"/>
              </w:rPr>
              <w:t xml:space="preserve">基本完整、基本科学合理，有可操作性的，得</w:t>
            </w:r>
            <w:r>
              <w:rPr>
                <w:rFonts w:hint="eastAsia" w:ascii="宋体" w:hAnsi="宋体" w:cs="宋体"/>
                <w:color w:val="auto"/>
              </w:rPr>
              <w:t xml:space="preserve">0.5</w:t>
            </w:r>
            <w:r>
              <w:rPr>
                <w:rFonts w:hint="eastAsia" w:ascii="宋体" w:hAnsi="宋体" w:cs="宋体"/>
                <w:color w:val="auto"/>
                <w:lang w:val="zh-CN"/>
              </w:rPr>
              <w:t xml:space="preserve">分； </w:t>
            </w:r>
            <w:r/>
          </w:p>
          <w:p>
            <w:pPr>
              <w:jc w:val="left"/>
              <w:spacing w:line="264" w:lineRule="auto"/>
              <w:rPr>
                <w:rFonts w:hint="eastAsia" w:ascii="宋体" w:hAnsi="宋体" w:cs="宋体"/>
                <w:color w:val="auto"/>
              </w:rPr>
            </w:pPr>
            <w:r>
              <w:rPr>
                <w:rFonts w:hint="eastAsia" w:ascii="宋体" w:hAnsi="宋体" w:cs="宋体"/>
                <w:color w:val="auto"/>
              </w:rPr>
              <w:t xml:space="preserve">（3）上述每项内容不完整、不科学合理、不具可操作性或未提供的不得分。</w:t>
            </w:r>
            <w:r/>
          </w:p>
        </w:tc>
        <w:tc>
          <w:tcPr>
            <w:tcW w:w="709" w:type="dxa"/>
            <w:vAlign w:val="center"/>
            <w:textDirection w:val="lrTb"/>
            <w:noWrap w:val="false"/>
          </w:tcPr>
          <w:p>
            <w:pPr>
              <w:jc w:val="center"/>
              <w:spacing w:before="68"/>
              <w:rPr>
                <w:rFonts w:hint="eastAsia" w:ascii="宋体" w:hAnsi="宋体" w:cs="宋体"/>
                <w:color w:val="auto"/>
              </w:rPr>
            </w:pPr>
            <w:r>
              <w:rPr>
                <w:rFonts w:hint="eastAsia" w:ascii="宋体" w:hAnsi="宋体" w:cs="宋体"/>
                <w:color w:val="auto"/>
              </w:rPr>
              <w:t xml:space="preserve">6</w:t>
            </w:r>
            <w:r/>
          </w:p>
        </w:tc>
        <w:tc>
          <w:tcPr>
            <w:tcW w:w="678" w:type="dxa"/>
            <w:vAlign w:val="center"/>
            <w:textDirection w:val="lrTb"/>
            <w:noWrap w:val="false"/>
          </w:tcPr>
          <w:p>
            <w:pPr>
              <w:jc w:val="center"/>
              <w:spacing w:before="68"/>
              <w:rPr>
                <w:rFonts w:hint="eastAsia" w:ascii="宋体" w:hAnsi="宋体" w:cs="宋体"/>
                <w:color w:val="auto"/>
                <w:spacing w:val="-6"/>
              </w:rPr>
            </w:pPr>
            <w:r>
              <w:rPr>
                <w:rFonts w:ascii="宋体" w:hAnsi="宋体" w:cs="宋体"/>
                <w:color w:val="auto"/>
                <w:spacing w:val="-6"/>
              </w:rPr>
              <w:t xml:space="preserve">主观分</w:t>
            </w:r>
            <w:r/>
          </w:p>
        </w:tc>
      </w:tr>
      <w:tr>
        <w:trPr>
          <w:jc w:val="center"/>
          <w:trHeight w:val="1083"/>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3.2</w:t>
            </w:r>
            <w:r/>
          </w:p>
        </w:tc>
        <w:tc>
          <w:tcPr>
            <w:tcW w:w="1134" w:type="dxa"/>
            <w:vAlign w:val="center"/>
            <w:textDirection w:val="lrTb"/>
            <w:noWrap w:val="false"/>
          </w:tcPr>
          <w:p>
            <w:pPr>
              <w:jc w:val="left"/>
              <w:spacing w:line="264" w:lineRule="auto"/>
              <w:rPr>
                <w:rFonts w:hint="eastAsia" w:ascii="宋体" w:hAnsi="宋体" w:cs="宋体"/>
                <w:color w:val="auto"/>
              </w:rPr>
            </w:pPr>
            <w:r>
              <w:rPr>
                <w:rFonts w:ascii="宋体" w:hAnsi="宋体" w:cs="宋体"/>
                <w:color w:val="auto"/>
              </w:rPr>
              <w:t xml:space="preserve">实施方案</w:t>
            </w:r>
            <w:r/>
          </w:p>
        </w:tc>
        <w:tc>
          <w:tcPr>
            <w:tcW w:w="6378" w:type="dxa"/>
            <w:vAlign w:val="center"/>
            <w:textDirection w:val="lrTb"/>
            <w:noWrap w:val="false"/>
          </w:tcPr>
          <w:p>
            <w:pPr>
              <w:jc w:val="left"/>
              <w:spacing w:line="264" w:lineRule="auto"/>
              <w:rPr>
                <w:rFonts w:hint="eastAsia" w:ascii="宋体" w:hAnsi="宋体" w:cs="宋体"/>
                <w:color w:val="auto"/>
                <w:lang w:val="zh-CN"/>
              </w:rPr>
            </w:pPr>
            <w:r>
              <w:rPr>
                <w:rFonts w:ascii="宋体" w:hAnsi="宋体" w:cs="宋体"/>
                <w:color w:val="auto"/>
                <w:lang w:val="zh-CN"/>
              </w:rPr>
              <w:t xml:space="preserve">评委根据投标人提供的项目实施方案</w:t>
            </w:r>
            <w:r>
              <w:rPr>
                <w:rFonts w:hint="eastAsia" w:ascii="宋体" w:hAnsi="宋体" w:cs="宋体"/>
                <w:color w:val="auto"/>
              </w:rPr>
              <w:t xml:space="preserve">综合评分，包含1.项目时间进度安排和项目管理组织架构；2.质量保障措施、术控制措施及安全文明实施措施；3.资源配置方案和沟通协调管理方案；4.档案管理和验收管理。以上每项内容逐条阐述：</w:t>
            </w:r>
            <w:r>
              <w:rPr>
                <w:rFonts w:ascii="宋体" w:hAnsi="宋体" w:cs="宋体"/>
                <w:color w:val="auto"/>
                <w:lang w:val="zh-CN"/>
              </w:rPr>
              <w:t xml:space="preserve"> </w:t>
            </w:r>
            <w:r/>
          </w:p>
          <w:p>
            <w:pPr>
              <w:jc w:val="left"/>
              <w:spacing w:line="264" w:lineRule="auto"/>
              <w:rPr>
                <w:rFonts w:hint="eastAsia" w:ascii="宋体" w:hAnsi="宋体" w:cs="宋体"/>
                <w:color w:val="auto"/>
                <w:lang w:val="zh-CN"/>
              </w:rPr>
            </w:pPr>
            <w:r>
              <w:rPr>
                <w:rFonts w:ascii="宋体" w:hAnsi="宋体" w:cs="宋体"/>
                <w:color w:val="auto"/>
                <w:lang w:val="zh-CN"/>
              </w:rPr>
              <w:t xml:space="preserve">（1）</w:t>
            </w:r>
            <w:r>
              <w:rPr>
                <w:rFonts w:hint="eastAsia" w:ascii="宋体" w:hAnsi="宋体" w:cs="宋体"/>
                <w:color w:val="auto"/>
              </w:rPr>
              <w:t xml:space="preserve">上述每项内容</w:t>
            </w:r>
            <w:r>
              <w:rPr>
                <w:rFonts w:ascii="宋体" w:hAnsi="宋体" w:cs="宋体"/>
                <w:color w:val="auto"/>
                <w:lang w:val="zh-CN"/>
              </w:rPr>
              <w:t xml:space="preserve">完整、科学性、合理性、操作性强的，得</w:t>
            </w:r>
            <w:r>
              <w:rPr>
                <w:rFonts w:hint="eastAsia" w:ascii="宋体" w:hAnsi="宋体" w:cs="宋体"/>
                <w:color w:val="auto"/>
              </w:rPr>
              <w:t xml:space="preserve">1</w:t>
            </w:r>
            <w:r>
              <w:rPr>
                <w:rFonts w:ascii="宋体" w:hAnsi="宋体" w:cs="宋体"/>
                <w:color w:val="auto"/>
                <w:lang w:val="zh-CN"/>
              </w:rPr>
              <w:t xml:space="preserve">分； </w:t>
            </w:r>
            <w:r/>
          </w:p>
          <w:p>
            <w:pPr>
              <w:jc w:val="left"/>
              <w:spacing w:line="264" w:lineRule="auto"/>
              <w:rPr>
                <w:rFonts w:hint="eastAsia" w:ascii="宋体" w:hAnsi="宋体" w:cs="宋体"/>
                <w:color w:val="auto"/>
                <w:lang w:val="zh-CN"/>
              </w:rPr>
            </w:pPr>
            <w:r>
              <w:rPr>
                <w:rFonts w:ascii="宋体" w:hAnsi="宋体" w:cs="宋体"/>
                <w:color w:val="auto"/>
                <w:lang w:val="zh-CN"/>
              </w:rPr>
              <w:t xml:space="preserve">（2）</w:t>
            </w:r>
            <w:r>
              <w:rPr>
                <w:rFonts w:hint="eastAsia" w:ascii="宋体" w:hAnsi="宋体" w:cs="宋体"/>
                <w:color w:val="auto"/>
              </w:rPr>
              <w:t xml:space="preserve">上述每项内容</w:t>
            </w:r>
            <w:r>
              <w:rPr>
                <w:rFonts w:ascii="宋体" w:hAnsi="宋体" w:cs="宋体"/>
                <w:color w:val="auto"/>
                <w:lang w:val="zh-CN"/>
              </w:rPr>
              <w:t xml:space="preserve">基本完整、基本科学合理，有可操作性的，得</w:t>
            </w:r>
            <w:r>
              <w:rPr>
                <w:rFonts w:hint="eastAsia" w:ascii="宋体" w:hAnsi="宋体" w:cs="宋体"/>
                <w:color w:val="auto"/>
              </w:rPr>
              <w:t xml:space="preserve">0.5</w:t>
            </w:r>
            <w:r>
              <w:rPr>
                <w:rFonts w:ascii="宋体" w:hAnsi="宋体" w:cs="宋体"/>
                <w:color w:val="auto"/>
                <w:lang w:val="zh-CN"/>
              </w:rPr>
              <w:t xml:space="preserve">分； </w:t>
            </w:r>
            <w:r/>
          </w:p>
          <w:p>
            <w:pPr>
              <w:jc w:val="left"/>
              <w:spacing w:line="264" w:lineRule="auto"/>
              <w:rPr>
                <w:rFonts w:hint="eastAsia" w:ascii="宋体" w:hAnsi="宋体" w:cs="宋体"/>
                <w:color w:val="auto"/>
                <w:lang w:val="zh-CN"/>
              </w:rPr>
            </w:pPr>
            <w:r>
              <w:rPr>
                <w:rFonts w:ascii="宋体" w:hAnsi="宋体" w:cs="宋体"/>
                <w:color w:val="auto"/>
                <w:lang w:val="zh-CN"/>
              </w:rPr>
              <w:t xml:space="preserve">（3）</w:t>
            </w:r>
            <w:r>
              <w:rPr>
                <w:rFonts w:hint="eastAsia" w:ascii="宋体" w:hAnsi="宋体" w:cs="宋体"/>
                <w:color w:val="auto"/>
              </w:rPr>
              <w:t xml:space="preserve">上述每项内容</w:t>
            </w:r>
            <w:r>
              <w:rPr>
                <w:rFonts w:ascii="宋体" w:hAnsi="宋体" w:cs="宋体"/>
                <w:color w:val="auto"/>
                <w:lang w:val="zh-CN"/>
              </w:rPr>
              <w:t xml:space="preserve">不完整、不科学合理、不具可操作性或未提供的不得分。</w:t>
            </w:r>
            <w:r/>
          </w:p>
        </w:tc>
        <w:tc>
          <w:tcPr>
            <w:tcW w:w="709" w:type="dxa"/>
            <w:vAlign w:val="center"/>
            <w:textDirection w:val="lrTb"/>
            <w:noWrap w:val="false"/>
          </w:tcPr>
          <w:p>
            <w:pPr>
              <w:jc w:val="center"/>
              <w:spacing w:before="68"/>
              <w:rPr>
                <w:rFonts w:hint="eastAsia" w:ascii="宋体" w:hAnsi="宋体" w:cs="宋体"/>
                <w:color w:val="auto"/>
              </w:rPr>
            </w:pPr>
            <w:r>
              <w:rPr>
                <w:rFonts w:hint="eastAsia" w:ascii="宋体" w:hAnsi="宋体" w:cs="宋体"/>
                <w:color w:val="auto"/>
              </w:rPr>
              <w:t xml:space="preserve">4</w:t>
            </w:r>
            <w:r/>
          </w:p>
        </w:tc>
        <w:tc>
          <w:tcPr>
            <w:tcW w:w="678" w:type="dxa"/>
            <w:vAlign w:val="center"/>
            <w:textDirection w:val="lrTb"/>
            <w:noWrap w:val="false"/>
          </w:tcPr>
          <w:p>
            <w:pPr>
              <w:jc w:val="center"/>
              <w:spacing w:before="68"/>
              <w:rPr>
                <w:rFonts w:hint="eastAsia" w:ascii="宋体" w:hAnsi="宋体" w:cs="宋体"/>
                <w:color w:val="auto"/>
                <w:spacing w:val="-6"/>
              </w:rPr>
            </w:pPr>
            <w:r>
              <w:rPr>
                <w:rFonts w:ascii="宋体" w:hAnsi="宋体" w:cs="宋体"/>
                <w:color w:val="auto"/>
                <w:spacing w:val="-6"/>
              </w:rPr>
              <w:t xml:space="preserve">主观分</w:t>
            </w:r>
            <w:r/>
          </w:p>
        </w:tc>
      </w:tr>
      <w:tr>
        <w:trPr>
          <w:jc w:val="center"/>
          <w:trHeight w:val="133"/>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3.3</w:t>
            </w:r>
            <w:r/>
          </w:p>
        </w:tc>
        <w:tc>
          <w:tcPr>
            <w:tcW w:w="1134" w:type="dxa"/>
            <w:vAlign w:val="center"/>
            <w:textDirection w:val="lrTb"/>
            <w:noWrap w:val="false"/>
          </w:tcPr>
          <w:p>
            <w:pPr>
              <w:jc w:val="left"/>
              <w:spacing w:line="264" w:lineRule="auto"/>
              <w:rPr>
                <w:rFonts w:hint="eastAsia" w:ascii="宋体" w:hAnsi="宋体" w:cs="宋体"/>
                <w:color w:val="auto"/>
              </w:rPr>
            </w:pPr>
            <w:r>
              <w:rPr>
                <w:rFonts w:ascii="宋体" w:hAnsi="宋体" w:cs="宋体"/>
                <w:color w:val="auto"/>
                <w:spacing w:val="-2"/>
              </w:rPr>
              <w:t xml:space="preserve">售后服务方案</w:t>
            </w:r>
            <w:r/>
          </w:p>
        </w:tc>
        <w:tc>
          <w:tcPr>
            <w:tcW w:w="6378" w:type="dxa"/>
            <w:vAlign w:val="center"/>
            <w:textDirection w:val="lrTb"/>
            <w:noWrap w:val="false"/>
          </w:tcPr>
          <w:p>
            <w:pPr>
              <w:pStyle w:val="1075"/>
              <w:rPr>
                <w:rFonts w:hint="eastAsia"/>
                <w:color w:val="auto"/>
                <w:sz w:val="21"/>
                <w:lang w:val="en-US" w:bidi="ar-SA"/>
              </w:rPr>
            </w:pPr>
            <w:r>
              <w:rPr>
                <w:color w:val="auto"/>
                <w:sz w:val="21"/>
                <w:lang w:val="en-US" w:bidi="ar-SA"/>
              </w:rPr>
              <w:t xml:space="preserve">评委根据投标人提供的项目售后服务方案</w:t>
            </w:r>
            <w:r>
              <w:rPr>
                <w:rFonts w:hint="eastAsia"/>
                <w:color w:val="auto"/>
                <w:sz w:val="21"/>
                <w:lang w:val="en-US" w:bidi="ar-SA"/>
              </w:rPr>
              <w:t xml:space="preserve">综合评分</w:t>
            </w:r>
            <w:r>
              <w:rPr>
                <w:rFonts w:hint="eastAsia" w:ascii="Times New Roman" w:hAnsi="Times New Roman" w:cs="Times New Roman"/>
                <w:color w:val="auto"/>
                <w:lang w:val="en-US"/>
              </w:rPr>
              <w:t xml:space="preserve">，</w:t>
            </w:r>
            <w:r>
              <w:rPr>
                <w:color w:val="auto"/>
                <w:sz w:val="21"/>
                <w:lang w:val="en-US" w:bidi="ar-SA"/>
              </w:rPr>
              <w:t xml:space="preserve">包</w:t>
            </w:r>
            <w:r>
              <w:rPr>
                <w:rFonts w:hint="eastAsia"/>
                <w:color w:val="auto"/>
                <w:sz w:val="21"/>
                <w:lang w:val="en-US" w:bidi="ar-SA"/>
              </w:rPr>
              <w:t xml:space="preserve">含1.</w:t>
            </w:r>
            <w:r>
              <w:rPr>
                <w:color w:val="auto"/>
                <w:sz w:val="21"/>
                <w:lang w:val="en-US" w:bidi="ar-SA"/>
              </w:rPr>
              <w:t xml:space="preserve">服务内容</w:t>
            </w:r>
            <w:r>
              <w:rPr>
                <w:rFonts w:hint="eastAsia"/>
                <w:color w:val="auto"/>
                <w:sz w:val="21"/>
                <w:lang w:val="en-US" w:bidi="ar-SA"/>
              </w:rPr>
              <w:t xml:space="preserve">；2.</w:t>
            </w:r>
            <w:r>
              <w:rPr>
                <w:color w:val="auto"/>
                <w:sz w:val="21"/>
                <w:lang w:val="en-US" w:bidi="ar-SA"/>
              </w:rPr>
              <w:t xml:space="preserve">故障解决方案</w:t>
            </w:r>
            <w:r>
              <w:rPr>
                <w:rFonts w:hint="eastAsia"/>
                <w:color w:val="auto"/>
                <w:sz w:val="21"/>
                <w:lang w:val="en-US" w:bidi="ar-SA"/>
              </w:rPr>
              <w:t xml:space="preserve">；3.</w:t>
            </w:r>
            <w:r>
              <w:rPr>
                <w:color w:val="auto"/>
                <w:sz w:val="21"/>
                <w:lang w:val="en-US" w:bidi="ar-SA"/>
              </w:rPr>
              <w:t xml:space="preserve">响应时间</w:t>
            </w:r>
            <w:r>
              <w:rPr>
                <w:rFonts w:hint="eastAsia"/>
                <w:color w:val="auto"/>
                <w:sz w:val="21"/>
                <w:lang w:val="en-US" w:bidi="ar-SA"/>
              </w:rPr>
              <w:t xml:space="preserve">；4.</w:t>
            </w:r>
            <w:r>
              <w:rPr>
                <w:color w:val="auto"/>
                <w:sz w:val="21"/>
                <w:lang w:val="en-US" w:bidi="ar-SA"/>
              </w:rPr>
              <w:t xml:space="preserve">技术人员保障及服务电话</w:t>
            </w:r>
            <w:r>
              <w:rPr>
                <w:rFonts w:hint="eastAsia"/>
                <w:color w:val="auto"/>
                <w:sz w:val="21"/>
                <w:lang w:val="en-US" w:bidi="ar-SA"/>
              </w:rPr>
              <w:t xml:space="preserve">。以上</w:t>
            </w:r>
            <w:r>
              <w:rPr>
                <w:rFonts w:hint="eastAsia" w:ascii="Times New Roman" w:hAnsi="Times New Roman" w:cs="Times New Roman"/>
                <w:color w:val="auto"/>
                <w:lang w:val="en-US"/>
              </w:rPr>
              <w:t xml:space="preserve">每项内容逐条阐述。</w:t>
            </w:r>
            <w:r/>
          </w:p>
          <w:p>
            <w:pPr>
              <w:pStyle w:val="1075"/>
              <w:rPr>
                <w:rFonts w:hint="eastAsia"/>
                <w:color w:val="auto"/>
                <w:sz w:val="21"/>
                <w:lang w:bidi="ar-SA"/>
              </w:rPr>
            </w:pPr>
            <w:r>
              <w:rPr>
                <w:color w:val="auto"/>
                <w:sz w:val="21"/>
                <w:lang w:bidi="ar-SA"/>
              </w:rPr>
              <w:t xml:space="preserve">（1）</w:t>
            </w:r>
            <w:r>
              <w:rPr>
                <w:rFonts w:hint="eastAsia"/>
                <w:color w:val="auto"/>
                <w:sz w:val="21"/>
                <w:szCs w:val="21"/>
                <w:lang w:val="en-US" w:bidi="ar-SA"/>
              </w:rPr>
              <w:t xml:space="preserve">上述每项内容</w:t>
            </w:r>
            <w:r>
              <w:rPr>
                <w:color w:val="auto"/>
                <w:sz w:val="21"/>
                <w:lang w:bidi="ar-SA"/>
              </w:rPr>
              <w:t xml:space="preserve">完整、科学性、合理性、操作性强的，得</w:t>
            </w:r>
            <w:r>
              <w:rPr>
                <w:rFonts w:hint="eastAsia"/>
                <w:color w:val="auto"/>
                <w:sz w:val="21"/>
                <w:lang w:val="en-US" w:bidi="ar-SA"/>
              </w:rPr>
              <w:t xml:space="preserve">1</w:t>
            </w:r>
            <w:r>
              <w:rPr>
                <w:color w:val="auto"/>
                <w:sz w:val="21"/>
                <w:lang w:bidi="ar-SA"/>
              </w:rPr>
              <w:t xml:space="preserve">分； </w:t>
            </w:r>
            <w:r/>
          </w:p>
          <w:p>
            <w:pPr>
              <w:pStyle w:val="1075"/>
              <w:rPr>
                <w:rFonts w:hint="eastAsia"/>
                <w:color w:val="auto"/>
                <w:sz w:val="21"/>
                <w:lang w:bidi="ar-SA"/>
              </w:rPr>
            </w:pPr>
            <w:r>
              <w:rPr>
                <w:color w:val="auto"/>
                <w:sz w:val="21"/>
                <w:lang w:bidi="ar-SA"/>
              </w:rPr>
              <w:t xml:space="preserve">（2）</w:t>
            </w:r>
            <w:r>
              <w:rPr>
                <w:rFonts w:hint="eastAsia"/>
                <w:color w:val="auto"/>
                <w:sz w:val="21"/>
                <w:szCs w:val="21"/>
                <w:lang w:val="en-US" w:bidi="ar-SA"/>
              </w:rPr>
              <w:t xml:space="preserve">上述每项内容</w:t>
            </w:r>
            <w:r>
              <w:rPr>
                <w:color w:val="auto"/>
                <w:sz w:val="21"/>
                <w:lang w:bidi="ar-SA"/>
              </w:rPr>
              <w:t xml:space="preserve">基本完整、基本科学合理，有可操作性的，得</w:t>
            </w:r>
            <w:r>
              <w:rPr>
                <w:rFonts w:hint="eastAsia"/>
                <w:color w:val="auto"/>
                <w:sz w:val="21"/>
                <w:lang w:val="en-US" w:bidi="ar-SA"/>
              </w:rPr>
              <w:t xml:space="preserve">0.5</w:t>
            </w:r>
            <w:r>
              <w:rPr>
                <w:color w:val="auto"/>
                <w:sz w:val="21"/>
                <w:lang w:bidi="ar-SA"/>
              </w:rPr>
              <w:t xml:space="preserve">分； </w:t>
            </w:r>
            <w:r/>
          </w:p>
          <w:p>
            <w:pPr>
              <w:jc w:val="left"/>
              <w:spacing w:line="264" w:lineRule="auto"/>
              <w:rPr>
                <w:rFonts w:hint="eastAsia" w:ascii="宋体" w:hAnsi="宋体" w:cs="宋体"/>
                <w:color w:val="auto"/>
              </w:rPr>
            </w:pPr>
            <w:r>
              <w:rPr>
                <w:color w:val="auto"/>
              </w:rPr>
              <w:t xml:space="preserve">（3）</w:t>
            </w:r>
            <w:r>
              <w:rPr>
                <w:rFonts w:hint="eastAsia"/>
                <w:color w:val="auto"/>
                <w:szCs w:val="21"/>
              </w:rPr>
              <w:t xml:space="preserve">上述每项内容</w:t>
            </w:r>
            <w:r>
              <w:rPr>
                <w:color w:val="auto"/>
              </w:rPr>
              <w:t xml:space="preserve">不完整、不科学合理、不具可操作性或未提供的不得分。</w:t>
            </w:r>
            <w:r/>
          </w:p>
        </w:tc>
        <w:tc>
          <w:tcPr>
            <w:tcW w:w="709" w:type="dxa"/>
            <w:vAlign w:val="center"/>
            <w:textDirection w:val="lrTb"/>
            <w:noWrap w:val="false"/>
          </w:tcPr>
          <w:p>
            <w:pPr>
              <w:jc w:val="center"/>
              <w:spacing w:before="68"/>
              <w:rPr>
                <w:rFonts w:hint="eastAsia" w:ascii="宋体" w:hAnsi="宋体" w:cs="宋体"/>
                <w:color w:val="auto"/>
              </w:rPr>
            </w:pPr>
            <w:r>
              <w:rPr>
                <w:rFonts w:hint="eastAsia" w:ascii="宋体" w:hAnsi="宋体" w:cs="宋体"/>
                <w:color w:val="auto"/>
              </w:rPr>
              <w:t xml:space="preserve">4</w:t>
            </w:r>
            <w:r/>
          </w:p>
        </w:tc>
        <w:tc>
          <w:tcPr>
            <w:tcW w:w="678" w:type="dxa"/>
            <w:vAlign w:val="center"/>
            <w:textDirection w:val="lrTb"/>
            <w:noWrap w:val="false"/>
          </w:tcPr>
          <w:p>
            <w:pPr>
              <w:jc w:val="center"/>
              <w:spacing w:before="68"/>
              <w:rPr>
                <w:rFonts w:hint="eastAsia" w:ascii="宋体" w:hAnsi="宋体" w:cs="宋体"/>
                <w:color w:val="auto"/>
                <w:spacing w:val="-6"/>
              </w:rPr>
            </w:pPr>
            <w:r>
              <w:rPr>
                <w:rFonts w:ascii="宋体" w:hAnsi="宋体" w:cs="宋体"/>
                <w:color w:val="auto"/>
                <w:spacing w:val="-6"/>
              </w:rPr>
              <w:t xml:space="preserve">主观分</w:t>
            </w:r>
            <w:r/>
          </w:p>
        </w:tc>
      </w:tr>
      <w:tr>
        <w:trPr>
          <w:jc w:val="center"/>
          <w:trHeight w:val="133"/>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3.4</w:t>
            </w:r>
            <w:r/>
          </w:p>
        </w:tc>
        <w:tc>
          <w:tcPr>
            <w:tcW w:w="1134"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培训方案</w:t>
            </w:r>
            <w:r/>
          </w:p>
        </w:tc>
        <w:tc>
          <w:tcPr>
            <w:tcW w:w="6378" w:type="dxa"/>
            <w:vAlign w:val="center"/>
            <w:textDirection w:val="lrTb"/>
            <w:noWrap w:val="false"/>
          </w:tcPr>
          <w:p>
            <w:pPr>
              <w:jc w:val="left"/>
              <w:spacing w:line="264" w:lineRule="auto"/>
              <w:widowControl/>
              <w:rPr>
                <w:rFonts w:hint="eastAsia" w:ascii="宋体" w:hAnsi="宋体" w:cs="宋体"/>
                <w:color w:val="auto"/>
              </w:rPr>
            </w:pPr>
            <w:r>
              <w:rPr>
                <w:rFonts w:ascii="宋体" w:hAnsi="宋体" w:cs="宋体"/>
                <w:color w:val="auto"/>
              </w:rPr>
              <w:t xml:space="preserve">评委根据投标人提供的项目培训方案</w:t>
            </w:r>
            <w:r>
              <w:rPr>
                <w:rFonts w:hint="eastAsia" w:ascii="宋体" w:hAnsi="宋体" w:cs="宋体"/>
                <w:color w:val="auto"/>
              </w:rPr>
              <w:t xml:space="preserve">评分，</w:t>
            </w:r>
            <w:r>
              <w:rPr>
                <w:rFonts w:ascii="宋体" w:hAnsi="宋体" w:cs="宋体"/>
                <w:color w:val="auto"/>
              </w:rPr>
              <w:t xml:space="preserve">包</w:t>
            </w:r>
            <w:r>
              <w:rPr>
                <w:rFonts w:hint="eastAsia" w:ascii="宋体" w:hAnsi="宋体" w:cs="宋体"/>
                <w:color w:val="auto"/>
              </w:rPr>
              <w:t xml:space="preserve">含:1.</w:t>
            </w:r>
            <w:r>
              <w:rPr>
                <w:rFonts w:ascii="宋体" w:hAnsi="宋体" w:cs="宋体"/>
                <w:color w:val="auto"/>
              </w:rPr>
              <w:t xml:space="preserve">培训计划</w:t>
            </w:r>
            <w:r>
              <w:rPr>
                <w:rFonts w:hint="eastAsia" w:ascii="宋体" w:hAnsi="宋体" w:cs="宋体"/>
                <w:color w:val="auto"/>
              </w:rPr>
              <w:t xml:space="preserve">；</w:t>
            </w:r>
            <w:r>
              <w:rPr>
                <w:rFonts w:hint="eastAsia" w:ascii="宋体" w:hAnsi="宋体" w:cs="宋体"/>
                <w:color w:val="auto"/>
                <w:szCs w:val="21"/>
              </w:rPr>
              <w:t xml:space="preserve">2.</w:t>
            </w:r>
            <w:r>
              <w:rPr>
                <w:rFonts w:ascii="宋体" w:hAnsi="宋体" w:cs="宋体"/>
                <w:color w:val="auto"/>
              </w:rPr>
              <w:t xml:space="preserve">培训内容</w:t>
            </w:r>
            <w:r>
              <w:rPr>
                <w:rFonts w:hint="eastAsia" w:ascii="宋体" w:hAnsi="宋体" w:cs="宋体"/>
                <w:color w:val="auto"/>
              </w:rPr>
              <w:t xml:space="preserve">；3.</w:t>
            </w:r>
            <w:r>
              <w:rPr>
                <w:rFonts w:ascii="宋体" w:hAnsi="宋体" w:cs="宋体"/>
                <w:color w:val="auto"/>
              </w:rPr>
              <w:t xml:space="preserve">师资力量</w:t>
            </w:r>
            <w:r>
              <w:rPr>
                <w:rFonts w:hint="eastAsia" w:ascii="宋体" w:hAnsi="宋体" w:cs="宋体"/>
                <w:color w:val="auto"/>
              </w:rPr>
              <w:t xml:space="preserve">。</w:t>
            </w:r>
            <w:r>
              <w:rPr>
                <w:rFonts w:ascii="宋体" w:hAnsi="宋体" w:cs="宋体"/>
                <w:color w:val="auto"/>
              </w:rPr>
              <w:t xml:space="preserve"> </w:t>
            </w:r>
            <w:r>
              <w:rPr>
                <w:rFonts w:hint="eastAsia"/>
                <w:color w:val="auto"/>
              </w:rPr>
              <w:t xml:space="preserve">以上每项内容逐条阐述。</w:t>
            </w:r>
            <w:r/>
          </w:p>
          <w:p>
            <w:pPr>
              <w:jc w:val="left"/>
              <w:spacing w:line="264" w:lineRule="auto"/>
              <w:widowControl/>
              <w:rPr>
                <w:rFonts w:hint="eastAsia" w:ascii="宋体" w:hAnsi="宋体" w:cs="宋体"/>
                <w:color w:val="auto"/>
              </w:rPr>
            </w:pPr>
            <w:r>
              <w:rPr>
                <w:rFonts w:ascii="宋体" w:hAnsi="宋体" w:cs="宋体"/>
                <w:color w:val="auto"/>
              </w:rPr>
              <w:t xml:space="preserve">（1）</w:t>
            </w:r>
            <w:r>
              <w:rPr>
                <w:rFonts w:hint="eastAsia" w:ascii="宋体" w:hAnsi="宋体" w:cs="宋体"/>
                <w:color w:val="auto"/>
                <w:szCs w:val="21"/>
              </w:rPr>
              <w:t xml:space="preserve">上述</w:t>
            </w:r>
            <w:r>
              <w:rPr>
                <w:rFonts w:ascii="宋体" w:hAnsi="宋体" w:cs="宋体"/>
                <w:color w:val="auto"/>
              </w:rPr>
              <w:t xml:space="preserve">方案完整详细、针对性强的，得</w:t>
            </w:r>
            <w:r>
              <w:rPr>
                <w:rFonts w:hint="eastAsia" w:ascii="宋体" w:hAnsi="宋体" w:cs="宋体"/>
                <w:color w:val="auto"/>
              </w:rPr>
              <w:t xml:space="preserve">1</w:t>
            </w:r>
            <w:r>
              <w:rPr>
                <w:rFonts w:ascii="宋体" w:hAnsi="宋体" w:cs="宋体"/>
                <w:color w:val="auto"/>
              </w:rPr>
              <w:t xml:space="preserve">分； </w:t>
            </w:r>
            <w:r/>
          </w:p>
          <w:p>
            <w:pPr>
              <w:jc w:val="left"/>
              <w:spacing w:line="264" w:lineRule="auto"/>
              <w:widowControl/>
              <w:rPr>
                <w:rFonts w:hint="eastAsia" w:ascii="宋体" w:hAnsi="宋体" w:cs="宋体"/>
                <w:color w:val="auto"/>
              </w:rPr>
            </w:pPr>
            <w:r>
              <w:rPr>
                <w:rFonts w:ascii="宋体" w:hAnsi="宋体" w:cs="宋体"/>
                <w:color w:val="auto"/>
              </w:rPr>
              <w:t xml:space="preserve">（2）</w:t>
            </w:r>
            <w:r>
              <w:rPr>
                <w:rFonts w:hint="eastAsia" w:ascii="宋体" w:hAnsi="宋体" w:cs="宋体"/>
                <w:color w:val="auto"/>
                <w:szCs w:val="21"/>
              </w:rPr>
              <w:t xml:space="preserve">上述</w:t>
            </w:r>
            <w:r>
              <w:rPr>
                <w:rFonts w:ascii="宋体" w:hAnsi="宋体" w:cs="宋体"/>
                <w:color w:val="auto"/>
              </w:rPr>
              <w:t xml:space="preserve">方案</w:t>
            </w:r>
            <w:r>
              <w:rPr>
                <w:rFonts w:hint="eastAsia" w:ascii="宋体" w:hAnsi="宋体" w:cs="宋体"/>
                <w:color w:val="auto"/>
              </w:rPr>
              <w:t xml:space="preserve">较</w:t>
            </w:r>
            <w:r>
              <w:rPr>
                <w:rFonts w:ascii="宋体" w:hAnsi="宋体" w:cs="宋体"/>
                <w:color w:val="auto"/>
              </w:rPr>
              <w:t xml:space="preserve">完整详细、针对性</w:t>
            </w:r>
            <w:r>
              <w:rPr>
                <w:rFonts w:hint="eastAsia" w:ascii="宋体" w:hAnsi="宋体" w:cs="宋体"/>
                <w:color w:val="auto"/>
              </w:rPr>
              <w:t xml:space="preserve">较</w:t>
            </w:r>
            <w:r>
              <w:rPr>
                <w:rFonts w:ascii="宋体" w:hAnsi="宋体" w:cs="宋体"/>
                <w:color w:val="auto"/>
              </w:rPr>
              <w:t xml:space="preserve">强的，得</w:t>
            </w:r>
            <w:r>
              <w:rPr>
                <w:rFonts w:hint="eastAsia" w:ascii="宋体" w:hAnsi="宋体" w:cs="宋体"/>
                <w:color w:val="auto"/>
              </w:rPr>
              <w:t xml:space="preserve">0.5</w:t>
            </w:r>
            <w:r>
              <w:rPr>
                <w:rFonts w:ascii="宋体" w:hAnsi="宋体" w:cs="宋体"/>
                <w:color w:val="auto"/>
              </w:rPr>
              <w:t xml:space="preserve">分；</w:t>
            </w:r>
            <w:r/>
          </w:p>
          <w:p>
            <w:pPr>
              <w:jc w:val="left"/>
              <w:spacing w:line="264" w:lineRule="auto"/>
              <w:rPr>
                <w:rFonts w:hint="eastAsia" w:ascii="宋体" w:hAnsi="宋体" w:cs="宋体"/>
                <w:color w:val="auto"/>
              </w:rPr>
            </w:pPr>
            <w:r>
              <w:rPr>
                <w:rFonts w:hint="eastAsia" w:ascii="宋体" w:hAnsi="宋体" w:cs="宋体"/>
                <w:color w:val="auto"/>
              </w:rPr>
              <w:t xml:space="preserve">（3）</w:t>
            </w:r>
            <w:r>
              <w:rPr>
                <w:rFonts w:hint="eastAsia" w:ascii="宋体" w:hAnsi="宋体" w:cs="宋体"/>
                <w:color w:val="auto"/>
                <w:szCs w:val="21"/>
              </w:rPr>
              <w:t xml:space="preserve">上述</w:t>
            </w:r>
            <w:r>
              <w:rPr>
                <w:rFonts w:ascii="宋体" w:hAnsi="宋体" w:cs="宋体"/>
                <w:color w:val="auto"/>
              </w:rPr>
              <w:t xml:space="preserve">方案没有针对性或未提供方案的不得分。</w:t>
            </w:r>
            <w:r/>
          </w:p>
        </w:tc>
        <w:tc>
          <w:tcPr>
            <w:tcW w:w="709"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3</w:t>
            </w:r>
            <w:r/>
          </w:p>
        </w:tc>
        <w:tc>
          <w:tcPr>
            <w:tcW w:w="678"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主观分</w:t>
            </w:r>
            <w:r/>
          </w:p>
        </w:tc>
      </w:tr>
      <w:tr>
        <w:trPr>
          <w:jc w:val="center"/>
          <w:trHeight w:val="455"/>
        </w:trPr>
        <w:tc>
          <w:tcPr>
            <w:gridSpan w:val="5"/>
            <w:tcW w:w="9576" w:type="dxa"/>
            <w:vAlign w:val="center"/>
            <w:textDirection w:val="lrTb"/>
            <w:noWrap w:val="false"/>
          </w:tcPr>
          <w:p>
            <w:pPr>
              <w:spacing w:line="264" w:lineRule="auto"/>
              <w:rPr>
                <w:rFonts w:hint="eastAsia" w:ascii="宋体" w:hAnsi="宋体" w:cs="宋体"/>
                <w:color w:val="auto"/>
              </w:rPr>
            </w:pPr>
            <w:r>
              <w:rPr>
                <w:rFonts w:hint="eastAsia" w:ascii="宋体" w:hAnsi="宋体" w:cs="宋体"/>
                <w:b/>
                <w:bCs/>
                <w:color w:val="auto"/>
                <w:spacing w:val="-3"/>
              </w:rPr>
              <w:t xml:space="preserve">4.业绩</w:t>
            </w:r>
            <w:r/>
          </w:p>
        </w:tc>
      </w:tr>
      <w:tr>
        <w:trPr>
          <w:jc w:val="center"/>
          <w:trHeight w:val="1015"/>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4.1</w:t>
            </w:r>
            <w:r/>
          </w:p>
        </w:tc>
        <w:tc>
          <w:tcPr>
            <w:tcW w:w="1134" w:type="dxa"/>
            <w:vAlign w:val="center"/>
            <w:textDirection w:val="lrTb"/>
            <w:noWrap w:val="false"/>
          </w:tcPr>
          <w:p>
            <w:pPr>
              <w:spacing w:before="69" w:line="264" w:lineRule="auto"/>
              <w:rPr>
                <w:rFonts w:hint="eastAsia" w:ascii="宋体" w:hAnsi="宋体" w:cs="宋体"/>
                <w:color w:val="auto"/>
                <w:spacing w:val="-2"/>
              </w:rPr>
            </w:pPr>
            <w:r>
              <w:rPr>
                <w:rFonts w:hint="eastAsia" w:ascii="宋体" w:hAnsi="宋体" w:cs="宋体"/>
                <w:color w:val="auto"/>
                <w:spacing w:val="-1"/>
              </w:rPr>
              <w:t xml:space="preserve">投标人业绩</w:t>
            </w:r>
            <w:r/>
          </w:p>
        </w:tc>
        <w:tc>
          <w:tcPr>
            <w:tcW w:w="6378" w:type="dxa"/>
            <w:vAlign w:val="center"/>
            <w:textDirection w:val="lrTb"/>
            <w:noWrap w:val="false"/>
          </w:tcPr>
          <w:p>
            <w:pPr>
              <w:spacing w:line="264" w:lineRule="auto"/>
              <w:rPr>
                <w:rFonts w:hint="eastAsia" w:ascii="宋体" w:hAnsi="宋体" w:cs="宋体"/>
                <w:color w:val="auto"/>
                <w:szCs w:val="21"/>
                <w:lang w:bidi="zh-CN"/>
              </w:rPr>
            </w:pPr>
            <w:r>
              <w:rPr>
                <w:rFonts w:hint="eastAsia" w:ascii="宋体" w:hAnsi="宋体" w:cs="宋体"/>
                <w:color w:val="auto"/>
              </w:rPr>
              <w:t xml:space="preserve">投标人提供2022年1月1日（含）以来类似项目业绩（至少包含LED全彩屏产品），每提供1个得1分，最多得2分。（时间以合同签订时间为准，提供有效合同，合同页须清晰可见相应内容）</w:t>
            </w:r>
            <w:r/>
          </w:p>
        </w:tc>
        <w:tc>
          <w:tcPr>
            <w:tcW w:w="709" w:type="dxa"/>
            <w:vAlign w:val="center"/>
            <w:textDirection w:val="lrTb"/>
            <w:noWrap w:val="false"/>
          </w:tcPr>
          <w:p>
            <w:pPr>
              <w:jc w:val="center"/>
              <w:spacing w:line="264" w:lineRule="auto"/>
              <w:rPr>
                <w:rFonts w:hint="eastAsia" w:ascii="宋体" w:hAnsi="宋体" w:cs="宋体"/>
                <w:color w:val="auto"/>
                <w:szCs w:val="21"/>
              </w:rPr>
            </w:pPr>
            <w:r>
              <w:rPr>
                <w:rFonts w:hint="eastAsia" w:ascii="宋体" w:hAnsi="宋体" w:cs="宋体"/>
                <w:color w:val="auto"/>
              </w:rPr>
              <w:t xml:space="preserve">2</w:t>
            </w:r>
            <w:r/>
          </w:p>
        </w:tc>
        <w:tc>
          <w:tcPr>
            <w:tcW w:w="678"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269"/>
        </w:trPr>
        <w:tc>
          <w:tcPr>
            <w:gridSpan w:val="5"/>
            <w:tcW w:w="9576" w:type="dxa"/>
            <w:textDirection w:val="lrTb"/>
            <w:noWrap w:val="false"/>
          </w:tcPr>
          <w:p>
            <w:pPr>
              <w:spacing w:before="123" w:line="264" w:lineRule="auto"/>
              <w:rPr>
                <w:rFonts w:hint="eastAsia" w:ascii="宋体" w:hAnsi="宋体" w:cs="宋体"/>
                <w:color w:val="auto"/>
              </w:rPr>
            </w:pPr>
            <w:r>
              <w:rPr>
                <w:rFonts w:hint="eastAsia" w:ascii="宋体" w:hAnsi="宋体" w:cs="宋体"/>
                <w:b/>
                <w:bCs/>
                <w:color w:val="auto"/>
                <w:spacing w:val="-3"/>
              </w:rPr>
              <w:t xml:space="preserve">5.履约能力</w:t>
            </w:r>
            <w:r/>
          </w:p>
        </w:tc>
      </w:tr>
      <w:tr>
        <w:trPr>
          <w:jc w:val="center"/>
          <w:trHeight w:val="383"/>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1</w:t>
            </w:r>
            <w:r/>
          </w:p>
        </w:tc>
        <w:tc>
          <w:tcPr>
            <w:tcW w:w="1134"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履约能力</w:t>
            </w:r>
            <w:r/>
          </w:p>
        </w:tc>
        <w:tc>
          <w:tcPr>
            <w:tcW w:w="6378"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投标人拟投入本项目的项目经理具有：</w:t>
            </w:r>
            <w:r/>
          </w:p>
          <w:p>
            <w:pPr>
              <w:spacing w:line="264" w:lineRule="auto"/>
              <w:rPr>
                <w:rFonts w:hint="eastAsia" w:ascii="宋体" w:hAnsi="宋体" w:cs="宋体"/>
                <w:color w:val="auto"/>
              </w:rPr>
            </w:pPr>
            <w:r>
              <w:rPr>
                <w:rFonts w:hint="eastAsia" w:ascii="宋体" w:hAnsi="宋体" w:cs="宋体"/>
                <w:color w:val="auto"/>
              </w:rPr>
              <w:t xml:space="preserve">投标人拟投入本项目的项目经理具有机电专业二级(含)以上建造师注册证书且具有安全生产考核合格证书(B证)的，得3分，缺少或不提供不得分。</w:t>
            </w:r>
            <w:r/>
          </w:p>
        </w:tc>
        <w:tc>
          <w:tcPr>
            <w:tcW w:w="709" w:type="dxa"/>
            <w:vAlign w:val="center"/>
            <w:textDirection w:val="lrTb"/>
            <w:noWrap w:val="false"/>
          </w:tcPr>
          <w:p>
            <w:pPr>
              <w:jc w:val="center"/>
              <w:spacing w:before="68" w:line="264" w:lineRule="auto"/>
              <w:rPr>
                <w:rFonts w:hint="eastAsia" w:ascii="宋体" w:hAnsi="宋体" w:cs="宋体"/>
                <w:color w:val="auto"/>
              </w:rPr>
            </w:pPr>
            <w:r>
              <w:rPr>
                <w:rFonts w:ascii="宋体" w:hAnsi="宋体" w:cs="宋体"/>
                <w:color w:val="auto"/>
              </w:rPr>
              <w:t xml:space="preserve">3</w:t>
            </w:r>
            <w:r/>
          </w:p>
        </w:tc>
        <w:tc>
          <w:tcPr>
            <w:tcW w:w="678"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hint="eastAsia" w:ascii="宋体" w:hAnsi="宋体" w:cs="宋体"/>
                <w:color w:val="auto"/>
                <w:spacing w:val="-4"/>
              </w:rPr>
              <w:t xml:space="preserve">观分</w:t>
            </w:r>
            <w:r/>
          </w:p>
        </w:tc>
      </w:tr>
      <w:tr>
        <w:trPr>
          <w:jc w:val="center"/>
          <w:trHeight w:val="431"/>
        </w:trPr>
        <w:tc>
          <w:tcPr>
            <w:gridSpan w:val="5"/>
            <w:tcW w:w="9576" w:type="dxa"/>
            <w:vAlign w:val="center"/>
            <w:textDirection w:val="lrTb"/>
            <w:noWrap w:val="false"/>
          </w:tcPr>
          <w:p>
            <w:pPr>
              <w:spacing w:before="68" w:line="264" w:lineRule="auto"/>
              <w:rPr>
                <w:rFonts w:hint="eastAsia" w:ascii="宋体" w:hAnsi="宋体" w:cs="宋体"/>
                <w:color w:val="auto"/>
                <w:spacing w:val="-6"/>
              </w:rPr>
            </w:pPr>
            <w:r>
              <w:rPr>
                <w:rFonts w:hint="eastAsia" w:ascii="宋体" w:hAnsi="宋体" w:cs="宋体"/>
                <w:b/>
                <w:bCs/>
                <w:color w:val="auto"/>
                <w:spacing w:val="-3"/>
              </w:rPr>
              <w:t xml:space="preserve">6.节能环保</w:t>
            </w:r>
            <w:r/>
          </w:p>
        </w:tc>
      </w:tr>
      <w:tr>
        <w:trPr>
          <w:jc w:val="center"/>
          <w:trHeight w:val="676"/>
        </w:trPr>
        <w:tc>
          <w:tcPr>
            <w:tcW w:w="677"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6.1</w:t>
            </w:r>
            <w:r/>
          </w:p>
        </w:tc>
        <w:tc>
          <w:tcPr>
            <w:tcW w:w="1134" w:type="dxa"/>
            <w:vAlign w:val="center"/>
            <w:textDirection w:val="lrTb"/>
            <w:noWrap w:val="false"/>
          </w:tcPr>
          <w:p>
            <w:pPr>
              <w:spacing w:before="69" w:line="264" w:lineRule="auto"/>
              <w:rPr>
                <w:rFonts w:hint="eastAsia" w:ascii="宋体" w:hAnsi="宋体" w:cs="宋体"/>
                <w:color w:val="auto"/>
                <w:spacing w:val="-1"/>
              </w:rPr>
            </w:pPr>
            <w:r>
              <w:rPr>
                <w:rFonts w:hint="eastAsia" w:ascii="宋体" w:hAnsi="宋体" w:cs="宋体"/>
                <w:color w:val="auto"/>
                <w:spacing w:val="-1"/>
              </w:rPr>
              <w:t xml:space="preserve">节能环保</w:t>
            </w:r>
            <w:r/>
          </w:p>
        </w:tc>
        <w:tc>
          <w:tcPr>
            <w:tcW w:w="6378" w:type="dxa"/>
            <w:vAlign w:val="center"/>
            <w:textDirection w:val="lrTb"/>
            <w:noWrap w:val="false"/>
          </w:tcPr>
          <w:p>
            <w:pPr>
              <w:spacing w:line="264" w:lineRule="auto"/>
              <w:rPr>
                <w:rFonts w:hint="eastAsia" w:ascii="宋体" w:hAnsi="宋体" w:cs="宋体"/>
                <w:color w:val="auto"/>
                <w:szCs w:val="21"/>
              </w:rPr>
            </w:pPr>
            <w:r>
              <w:rPr>
                <w:rFonts w:hint="eastAsia" w:ascii="宋体" w:hAnsi="宋体" w:cs="宋体"/>
                <w:color w:val="auto"/>
                <w:szCs w:val="21"/>
              </w:rPr>
              <w:t xml:space="preserve">1.投标产品属于财政部、国家发改委公布的</w:t>
            </w:r>
            <w:r>
              <w:rPr>
                <w:rFonts w:ascii="宋体" w:hAnsi="宋体" w:cs="宋体"/>
                <w:color w:val="auto"/>
                <w:szCs w:val="21"/>
              </w:rPr>
              <w:t xml:space="preserve">《节能产品政府采购品目清单》（财库〔2019〕19号）</w:t>
            </w:r>
            <w:r>
              <w:rPr>
                <w:rFonts w:hint="eastAsia" w:ascii="宋体" w:hAnsi="宋体" w:cs="宋体"/>
                <w:color w:val="auto"/>
                <w:szCs w:val="21"/>
              </w:rPr>
              <w:t xml:space="preserve">范围内（政府强制采购产品除外）的，投标人提供国家确定的认证机构出具的、处于有效期之内的该节能产品认证证书的，有1个得0.5分，最多得1分。</w:t>
            </w:r>
            <w:r/>
          </w:p>
          <w:p>
            <w:pPr>
              <w:pStyle w:val="844"/>
              <w:rPr>
                <w:color w:val="auto"/>
              </w:rPr>
            </w:pPr>
            <w:r>
              <w:rPr>
                <w:rFonts w:hint="eastAsia" w:hAnsi="宋体" w:cs="宋体"/>
                <w:color w:val="auto"/>
              </w:rPr>
              <w:t xml:space="preserve">2.投标产品属于财政部、生态环境部公布的《环境</w:t>
            </w:r>
            <w:r>
              <w:rPr>
                <w:rFonts w:hAnsi="宋体" w:cs="宋体"/>
                <w:color w:val="auto"/>
              </w:rPr>
              <w:t xml:space="preserve">标志产品品目清单</w:t>
            </w:r>
            <w:r>
              <w:rPr>
                <w:rFonts w:hint="eastAsia" w:hAnsi="宋体" w:cs="宋体"/>
                <w:color w:val="auto"/>
              </w:rPr>
              <w:t xml:space="preserve">》</w:t>
            </w:r>
            <w:r>
              <w:rPr>
                <w:rFonts w:hAnsi="宋体" w:cs="宋体"/>
                <w:color w:val="auto"/>
              </w:rPr>
              <w:t xml:space="preserve">（财库〔2019〕1</w:t>
            </w:r>
            <w:r>
              <w:rPr>
                <w:rFonts w:hint="eastAsia" w:hAnsi="宋体" w:cs="宋体"/>
                <w:color w:val="auto"/>
              </w:rPr>
              <w:t xml:space="preserve">8</w:t>
            </w:r>
            <w:r>
              <w:rPr>
                <w:rFonts w:hAnsi="宋体" w:cs="宋体"/>
                <w:color w:val="auto"/>
              </w:rPr>
              <w:t xml:space="preserve">号）</w:t>
            </w:r>
            <w:r>
              <w:rPr>
                <w:rFonts w:hint="eastAsia" w:hAnsi="宋体" w:cs="宋体"/>
                <w:color w:val="auto"/>
              </w:rPr>
              <w:t xml:space="preserve">范围内的，投标人提供国家确定的认证机构出具的、处于有效期内的该环境标志产品认证证书的，有1个得0.5分，最多得1分</w:t>
            </w:r>
            <w:r/>
          </w:p>
        </w:tc>
        <w:tc>
          <w:tcPr>
            <w:tcW w:w="709"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2</w:t>
            </w:r>
            <w:r/>
          </w:p>
        </w:tc>
        <w:tc>
          <w:tcPr>
            <w:tcW w:w="678"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Height w:val="464"/>
        </w:trPr>
        <w:tc>
          <w:tcPr>
            <w:gridSpan w:val="2"/>
            <w:tcW w:w="1811"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spacing w:val="-3"/>
              </w:rPr>
              <w:t xml:space="preserve">合</w:t>
            </w:r>
            <w:r>
              <w:rPr>
                <w:rFonts w:hint="eastAsia" w:ascii="宋体" w:hAnsi="宋体" w:cs="宋体"/>
                <w:color w:val="auto"/>
                <w:spacing w:val="-2"/>
              </w:rPr>
              <w:t xml:space="preserve">计</w:t>
            </w:r>
            <w:r/>
          </w:p>
        </w:tc>
        <w:tc>
          <w:tcPr>
            <w:tcW w:w="6378" w:type="dxa"/>
            <w:vAlign w:val="center"/>
            <w:textDirection w:val="lrTb"/>
            <w:noWrap w:val="false"/>
          </w:tcPr>
          <w:p>
            <w:pPr>
              <w:ind w:left="172"/>
              <w:jc w:val="center"/>
              <w:spacing w:before="123" w:line="264" w:lineRule="auto"/>
              <w:rPr>
                <w:rFonts w:hint="eastAsia" w:ascii="宋体" w:hAnsi="宋体" w:cs="宋体"/>
                <w:color w:val="auto"/>
                <w:spacing w:val="-2"/>
              </w:rPr>
            </w:pPr>
            <w:r>
              <w:rPr>
                <w:rFonts w:hint="eastAsia" w:ascii="宋体" w:hAnsi="宋体" w:cs="宋体"/>
                <w:color w:val="auto"/>
                <w:spacing w:val="-2"/>
              </w:rPr>
            </w:r>
            <w:r/>
          </w:p>
        </w:tc>
        <w:tc>
          <w:tcPr>
            <w:gridSpan w:val="2"/>
            <w:tcW w:w="1387"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spacing w:val="-11"/>
              </w:rPr>
              <w:t xml:space="preserve">100分</w:t>
            </w:r>
            <w:r/>
          </w:p>
        </w:tc>
      </w:tr>
    </w:tbl>
    <w:p>
      <w:pPr>
        <w:spacing w:line="264" w:lineRule="auto"/>
        <w:rPr>
          <w:rFonts w:hint="eastAsia" w:ascii="宋体" w:hAnsi="宋体" w:cs="宋体"/>
          <w:b/>
          <w:bCs/>
          <w:color w:val="auto"/>
          <w:sz w:val="24"/>
          <w:szCs w:val="24"/>
          <w:highlight w:val="yellow"/>
        </w:rPr>
      </w:pPr>
      <w:r>
        <w:rPr>
          <w:rFonts w:hint="eastAsia" w:ascii="宋体" w:hAnsi="宋体" w:cs="宋体"/>
          <w:b/>
          <w:bCs/>
          <w:color w:val="auto"/>
          <w:sz w:val="24"/>
          <w:szCs w:val="24"/>
          <w:highlight w:val="yellow"/>
        </w:rPr>
      </w:r>
      <w:r/>
    </w:p>
    <w:p>
      <w:pPr>
        <w:ind w:right="840"/>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p>
    <w:p>
      <w:pPr>
        <w:ind w:right="840"/>
        <w:jc w:val="center"/>
        <w:rPr>
          <w:rFonts w:ascii="方正小标宋简体" w:hAnsi="方正小标宋简体" w:eastAsia="方正小标宋简体" w:cs="方正小标宋简体"/>
          <w:color w:val="auto"/>
          <w:sz w:val="36"/>
          <w:szCs w:val="36"/>
        </w:rPr>
      </w:pPr>
      <w:r>
        <w:rPr>
          <w:rFonts w:ascii="方正小标宋简体" w:hAnsi="方正小标宋简体" w:eastAsia="方正小标宋简体" w:cs="方正小标宋简体"/>
          <w:color w:val="auto"/>
          <w:sz w:val="36"/>
          <w:szCs w:val="36"/>
        </w:rPr>
      </w:r>
      <w:r/>
    </w:p>
    <w:p>
      <w:pPr>
        <w:ind w:right="840"/>
        <w:jc w:val="center"/>
        <w:rPr>
          <w:rFonts w:ascii="方正小标宋简体" w:hAnsi="方正小标宋简体" w:eastAsia="方正小标宋简体" w:cs="方正小标宋简体"/>
          <w:color w:val="auto"/>
          <w:sz w:val="36"/>
          <w:szCs w:val="36"/>
        </w:rPr>
      </w:pPr>
      <w:r>
        <w:rPr>
          <w:rFonts w:ascii="方正小标宋简体" w:hAnsi="方正小标宋简体" w:eastAsia="方正小标宋简体" w:cs="方正小标宋简体"/>
          <w:color w:val="auto"/>
          <w:sz w:val="36"/>
          <w:szCs w:val="36"/>
        </w:rPr>
      </w:r>
      <w:r/>
    </w:p>
    <w:p>
      <w:pPr>
        <w:ind w:right="840"/>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auto"/>
          <w:sz w:val="36"/>
          <w:szCs w:val="36"/>
        </w:rPr>
        <w:t xml:space="preserve">文件格式 </w:t>
      </w:r>
      <w:r/>
    </w:p>
    <w:p>
      <w:pPr>
        <w:jc w:val="center"/>
        <w:rPr>
          <w:rFonts w:hint="eastAsia" w:ascii="宋体" w:hAnsi="宋体"/>
          <w:b/>
          <w:color w:val="auto"/>
          <w:sz w:val="72"/>
          <w:szCs w:val="21"/>
        </w:rPr>
      </w:pPr>
      <w:r/>
      <w:bookmarkStart w:id="198" w:name="_Hlt26955039"/>
      <w:r/>
      <w:bookmarkEnd w:id="198"/>
      <w:r/>
      <w:bookmarkStart w:id="199" w:name="_Hlt26671244"/>
      <w:r/>
      <w:bookmarkEnd w:id="199"/>
      <w:r/>
      <w:bookmarkStart w:id="200" w:name="_Toc49090576"/>
      <w:r/>
      <w:bookmarkStart w:id="201" w:name="_Toc26554094"/>
      <w:r/>
      <w:bookmarkStart w:id="202" w:name="_Toc120614282"/>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（加盖电子公章）   </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hint="eastAsia" w:ascii="宋体" w:hAnsi="宋体"/>
          <w:color w:val="auto"/>
          <w:szCs w:val="21"/>
        </w:rPr>
      </w:pPr>
      <w:r>
        <w:rPr>
          <w:rFonts w:hint="eastAsia" w:ascii="宋体" w:hAnsi="宋体"/>
          <w:color w:val="auto"/>
          <w:szCs w:val="21"/>
        </w:rPr>
      </w:r>
      <w:r/>
    </w:p>
    <w:p>
      <w:pPr>
        <w:jc w:val="center"/>
        <w:rPr>
          <w:rFonts w:ascii="方正黑体_GBK" w:hAnsi="方正黑体_GBK" w:eastAsia="方正黑体_GBK" w:cs="方正黑体_GBK"/>
          <w:color w:val="auto"/>
          <w:sz w:val="32"/>
          <w:szCs w:val="32"/>
        </w:rPr>
      </w:pPr>
      <w:r>
        <w:rPr>
          <w:rFonts w:ascii="宋体" w:hAnsi="宋体"/>
          <w:b/>
          <w:color w:val="auto"/>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hint="eastAsia" w:ascii="宋体" w:hAnsi="宋体" w:cs="宋体"/>
          <w:color w:val="auto"/>
          <w:sz w:val="28"/>
          <w:szCs w:val="28"/>
        </w:rPr>
      </w:pPr>
      <w:r/>
      <w:bookmarkStart w:id="203" w:name="_Toc120614284"/>
      <w:r>
        <w:rPr>
          <w:rFonts w:hint="eastAsia" w:ascii="宋体" w:hAnsi="宋体" w:cs="宋体"/>
          <w:color w:val="auto"/>
          <w:sz w:val="28"/>
          <w:szCs w:val="28"/>
        </w:rPr>
        <w:t xml:space="preserve">一、供应商信用承诺函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六、核心产品品牌一览表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七、投标分项报价表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八、技术要求响应及偏离表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九、商务要求响应及偏离表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十、中小企业声明函（如有）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十一、残疾人福利性单位声明函（如有）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十二、联合体协议（如有）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pStyle w:val="1072"/>
        <w:rPr>
          <w:rFonts w:hint="eastAsia"/>
          <w:color w:val="auto"/>
          <w:sz w:val="24"/>
        </w:rPr>
      </w:pPr>
      <w:r>
        <w:rPr>
          <w:rFonts w:hint="eastAsia"/>
          <w:color w:val="auto"/>
          <w:sz w:val="24"/>
        </w:rPr>
      </w:r>
      <w:r/>
    </w:p>
    <w:p>
      <w:pPr>
        <w:pStyle w:val="1072"/>
        <w:rPr>
          <w:rFonts w:hint="eastAsia"/>
          <w:color w:val="auto"/>
          <w:sz w:val="24"/>
        </w:rPr>
      </w:pPr>
      <w:r>
        <w:rPr>
          <w:rFonts w:hint="eastAsia"/>
          <w:color w:val="auto"/>
          <w:sz w:val="24"/>
        </w:rPr>
      </w:r>
      <w:r/>
    </w:p>
    <w:p>
      <w:pPr>
        <w:pStyle w:val="1072"/>
        <w:rPr>
          <w:rFonts w:hint="eastAsia"/>
          <w:color w:val="auto"/>
          <w:sz w:val="24"/>
        </w:rPr>
      </w:pPr>
      <w:r>
        <w:rPr>
          <w:rFonts w:hint="eastAsia"/>
          <w:color w:val="auto"/>
          <w:sz w:val="24"/>
        </w:rPr>
      </w:r>
      <w:r/>
    </w:p>
    <w:p>
      <w:pPr>
        <w:pStyle w:val="1072"/>
        <w:rPr>
          <w:rFonts w:hint="eastAsia"/>
          <w:color w:val="auto"/>
          <w:sz w:val="24"/>
        </w:rPr>
      </w:pPr>
      <w:r>
        <w:rPr>
          <w:rFonts w:hint="eastAsia"/>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838"/>
        <w:ind w:firstLine="640"/>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838"/>
        <w:ind w:firstLine="640"/>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color w:val="auto"/>
        </w:rPr>
      </w:pPr>
      <w:r>
        <w:rPr>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hint="eastAsia" w:ascii="宋体" w:hAnsi="宋体"/>
          <w:color w:val="auto"/>
          <w:sz w:val="24"/>
          <w:szCs w:val="24"/>
        </w:rPr>
      </w:pPr>
      <w:r>
        <w:rPr>
          <w:rFonts w:hint="eastAsia" w:ascii="宋体" w:hAnsi="宋体"/>
          <w:color w:val="auto"/>
          <w:sz w:val="24"/>
          <w:szCs w:val="24"/>
        </w:rPr>
        <w:t xml:space="preserve">南京市公共资源交易中心：</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color w:val="auto"/>
          <w:sz w:val="24"/>
          <w:szCs w:val="24"/>
        </w:rPr>
      </w:pPr>
      <w:r>
        <w:rPr>
          <w:rFonts w:hint="eastAsia"/>
          <w:color w:val="auto"/>
          <w:sz w:val="24"/>
          <w:szCs w:val="24"/>
        </w:rPr>
        <w:t xml:space="preserve">本公司对上述承诺内容的真实性、合法性、有效性负责，如有虚假，将依法承担相应责任。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1073"/>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1043"/>
        <w:ind w:firstLine="480"/>
        <w:rPr>
          <w:color w:val="auto"/>
          <w:sz w:val="24"/>
          <w:szCs w:val="24"/>
        </w:rPr>
      </w:pPr>
      <w:r>
        <w:rPr>
          <w:rFonts w:hint="eastAsia"/>
          <w:color w:val="auto"/>
          <w:sz w:val="24"/>
          <w:szCs w:val="24"/>
        </w:rPr>
        <w:t xml:space="preserve">本项目申请人的特定资格要求中要求提供的材料。</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1074"/>
        <w:rPr>
          <w:color w:val="auto"/>
          <w:lang w:eastAsia="zh-CN"/>
        </w:rPr>
      </w:pPr>
      <w:r>
        <w:rPr>
          <w:color w:val="auto"/>
          <w:lang w:eastAsia="zh-CN"/>
        </w:rPr>
      </w:r>
      <w:r/>
    </w:p>
    <w:p>
      <w:pPr>
        <w:rPr>
          <w:color w:val="auto"/>
        </w:rPr>
      </w:pPr>
      <w:r>
        <w:rPr>
          <w:color w:val="auto"/>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color w:val="auto"/>
        </w:rPr>
      </w:pPr>
      <w:r>
        <w:rPr>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三、法人授权书</w:t>
      </w:r>
      <w:r/>
    </w:p>
    <w:p>
      <w:pPr>
        <w:jc w:val="center"/>
        <w:spacing w:line="420" w:lineRule="exact"/>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法人授权书</w:t>
      </w:r>
      <w:r/>
    </w:p>
    <w:p>
      <w:pPr>
        <w:pStyle w:val="1043"/>
        <w:ind w:firstLine="480"/>
        <w:spacing w:line="420" w:lineRule="exact"/>
        <w:rPr>
          <w:color w:val="auto"/>
          <w:sz w:val="24"/>
          <w:szCs w:val="24"/>
        </w:rPr>
      </w:pPr>
      <w:r>
        <w:rPr>
          <w:color w:val="auto"/>
          <w:sz w:val="24"/>
          <w:szCs w:val="24"/>
        </w:rPr>
      </w:r>
      <w:r/>
    </w:p>
    <w:p>
      <w:pPr>
        <w:pStyle w:val="1043"/>
        <w:ind w:firstLine="480"/>
        <w:spacing w:line="480" w:lineRule="exact"/>
        <w:rPr>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1043"/>
        <w:ind w:firstLine="480"/>
        <w:spacing w:line="480" w:lineRule="exact"/>
        <w:rPr>
          <w:color w:val="auto"/>
          <w:sz w:val="24"/>
          <w:szCs w:val="24"/>
        </w:rPr>
      </w:pPr>
      <w:r>
        <w:rPr>
          <w:rFonts w:hint="eastAsia"/>
          <w:color w:val="auto"/>
          <w:sz w:val="24"/>
          <w:szCs w:val="24"/>
        </w:rPr>
        <w:t xml:space="preserve">本授权书自______年____月____日起生效，特此声明。</w:t>
      </w:r>
      <w:r/>
    </w:p>
    <w:p>
      <w:pPr>
        <w:pStyle w:val="1043"/>
        <w:ind w:firstLine="480"/>
        <w:spacing w:line="480" w:lineRule="exact"/>
        <w:rPr>
          <w:color w:val="auto"/>
          <w:sz w:val="24"/>
          <w:szCs w:val="24"/>
        </w:rPr>
      </w:pPr>
      <w:r>
        <w:rPr>
          <w:rFonts w:hint="eastAsia"/>
          <w:color w:val="auto"/>
          <w:sz w:val="24"/>
          <w:szCs w:val="24"/>
        </w:rPr>
        <w:t xml:space="preserve">被授权人身份证号码：</w:t>
      </w:r>
      <w:r/>
    </w:p>
    <w:p>
      <w:pPr>
        <w:pStyle w:val="1043"/>
        <w:ind w:firstLine="480"/>
        <w:spacing w:line="480" w:lineRule="exact"/>
        <w:rPr>
          <w:color w:val="auto"/>
          <w:sz w:val="24"/>
          <w:szCs w:val="24"/>
          <w:u w:val="single"/>
        </w:rPr>
      </w:pPr>
      <w:r>
        <w:rPr>
          <w:rFonts w:hint="eastAsia"/>
          <w:color w:val="auto"/>
          <w:sz w:val="24"/>
          <w:szCs w:val="24"/>
        </w:rPr>
        <w:t xml:space="preserve">被授权人联系电话：（手机）</w:t>
      </w:r>
      <w:r/>
    </w:p>
    <w:p>
      <w:pPr>
        <w:pStyle w:val="1043"/>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1043"/>
        <w:ind w:firstLine="480"/>
        <w:spacing w:line="480" w:lineRule="exact"/>
        <w:rPr>
          <w:color w:val="auto"/>
          <w:sz w:val="24"/>
          <w:szCs w:val="24"/>
          <w:u w:val="single"/>
        </w:rPr>
      </w:pPr>
      <w:r>
        <w:rPr>
          <w:rFonts w:hint="eastAsia"/>
          <w:color w:val="auto"/>
          <w:sz w:val="24"/>
          <w:szCs w:val="24"/>
        </w:rPr>
        <w:t xml:space="preserve">单位地址：</w:t>
      </w:r>
      <w:r/>
    </w:p>
    <w:p>
      <w:pPr>
        <w:pStyle w:val="1043"/>
        <w:ind w:firstLine="480"/>
        <w:spacing w:line="480" w:lineRule="exact"/>
        <w:rPr>
          <w:color w:val="auto"/>
          <w:sz w:val="24"/>
          <w:szCs w:val="24"/>
        </w:rPr>
      </w:pPr>
      <w:r>
        <w:rPr>
          <w:rFonts w:hint="eastAsia"/>
          <w:color w:val="auto"/>
          <w:sz w:val="24"/>
          <w:szCs w:val="24"/>
        </w:rPr>
        <w:t xml:space="preserve">日    期：</w:t>
      </w:r>
      <w:bookmarkStart w:id="204" w:name="_Hlt26955070"/>
      <w:r/>
      <w:bookmarkEnd w:id="204"/>
      <w:r/>
      <w:bookmarkStart w:id="205" w:name="_Hlt26671380"/>
      <w:r/>
      <w:bookmarkEnd w:id="205"/>
      <w:r/>
      <w:bookmarkStart w:id="206" w:name="_格式3__银行出具的资信证明"/>
      <w:r/>
      <w:bookmarkEnd w:id="206"/>
      <w:r/>
      <w:r/>
    </w:p>
    <w:p>
      <w:pPr>
        <w:pStyle w:val="962"/>
        <w:rPr>
          <w:i/>
          <w:color w:val="auto"/>
          <w:sz w:val="24"/>
          <w:szCs w:val="24"/>
          <w:u w:val="single"/>
        </w:rPr>
      </w:pPr>
      <w:r>
        <w:rPr>
          <w:i/>
          <w:color w:val="auto"/>
          <w:sz w:val="24"/>
          <w:szCs w:val="24"/>
          <w:u w:val="single"/>
        </w:rPr>
      </w:r>
      <w:r/>
    </w:p>
    <w:p>
      <w:pPr>
        <w:pStyle w:val="962"/>
        <w:ind w:firstLine="0"/>
        <w:rPr>
          <w:color w:val="auto"/>
        </w:rPr>
      </w:pPr>
      <w:r>
        <w:rPr>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rFonts w:hint="eastAsia" w:ascii="宋体" w:hAnsi="宋体"/>
          <w:bCs/>
          <w:color w:val="auto"/>
          <w:sz w:val="24"/>
        </w:rPr>
      </w:pPr>
      <w:r>
        <w:rPr>
          <w:rFonts w:hint="eastAsia" w:ascii="宋体" w:hAnsi="宋体"/>
          <w:bCs/>
          <w:color w:val="auto"/>
          <w:sz w:val="24"/>
        </w:rPr>
      </w:r>
      <w:r/>
    </w:p>
    <w:p>
      <w:pPr>
        <w:pStyle w:val="838"/>
        <w:ind w:firstLine="480"/>
        <w:rPr>
          <w:rFonts w:hint="eastAsia"/>
          <w:bCs/>
          <w:color w:val="auto"/>
          <w:sz w:val="24"/>
        </w:rPr>
      </w:pPr>
      <w:r>
        <w:rPr>
          <w:rFonts w:hint="eastAsia"/>
          <w:bCs/>
          <w:color w:val="auto"/>
          <w:sz w:val="24"/>
        </w:rPr>
      </w:r>
      <w:r/>
    </w:p>
    <w:p>
      <w:pPr>
        <w:rPr>
          <w:color w:val="auto"/>
        </w:rPr>
      </w:pPr>
      <w:r>
        <w:rPr>
          <w:color w:val="auto"/>
        </w:rPr>
      </w:r>
      <w:r/>
    </w:p>
    <w:p>
      <w:pPr>
        <w:pStyle w:val="1072"/>
        <w:rPr>
          <w:rFonts w:hint="eastAsia"/>
          <w:bCs/>
          <w:color w:val="auto"/>
          <w:sz w:val="24"/>
        </w:rPr>
      </w:pPr>
      <w:r>
        <w:rPr>
          <w:rFonts w:hint="eastAsia"/>
          <w:bCs/>
          <w:color w:val="auto"/>
          <w:sz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四、投标函</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投标函</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致：南京市公共资源交易中心</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1.按招标文件规定的各项要求，向买方提供所需货物（包含与货物相关的服务）。</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1045"/>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1045"/>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8.我方与本次投标有关信息</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1045"/>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p>
    <w:p>
      <w:pPr>
        <w:pStyle w:val="1045"/>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p>
    <w:p>
      <w:pPr>
        <w:pStyle w:val="1045"/>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p>
    <w:p>
      <w:pPr>
        <w:pStyle w:val="1045"/>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1045"/>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五、开标一览表</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开标一览表</w:t>
      </w:r>
      <w:r/>
    </w:p>
    <w:p>
      <w:pPr>
        <w:rPr>
          <w:rFonts w:hint="eastAsia" w:ascii="宋体" w:hAnsi="宋体"/>
          <w:color w:val="auto"/>
          <w:sz w:val="24"/>
          <w:szCs w:val="24"/>
        </w:rPr>
      </w:pPr>
      <w:r>
        <w:rPr>
          <w:rFonts w:hint="eastAsia" w:ascii="宋体" w:hAnsi="宋体"/>
          <w:color w:val="auto"/>
          <w:sz w:val="24"/>
          <w:szCs w:val="24"/>
        </w:rPr>
        <w:t xml:space="preserve">投标人名称：（加盖电子公章）</w:t>
      </w:r>
      <w:r/>
    </w:p>
    <w:p>
      <w:pPr>
        <w:rPr>
          <w:color w:val="auto"/>
          <w:sz w:val="24"/>
          <w:szCs w:val="24"/>
        </w:rPr>
      </w:pPr>
      <w:r>
        <w:rPr>
          <w:rFonts w:hint="eastAsia" w:ascii="宋体" w:hAnsi="宋体"/>
          <w:color w:val="auto"/>
          <w:sz w:val="24"/>
          <w:szCs w:val="24"/>
        </w:rPr>
        <w:t xml:space="preserve">项目名称：</w:t>
      </w:r>
      <w:r/>
    </w:p>
    <w:p>
      <w:pPr>
        <w:rPr>
          <w:rFonts w:hint="eastAsia" w:ascii="宋体" w:hAnsi="宋体"/>
          <w:color w:val="auto"/>
          <w:sz w:val="24"/>
          <w:szCs w:val="24"/>
        </w:rPr>
      </w:pPr>
      <w:r>
        <w:rPr>
          <w:rFonts w:hint="eastAsia" w:ascii="宋体" w:hAnsi="宋体"/>
          <w:color w:val="auto"/>
          <w:sz w:val="24"/>
          <w:szCs w:val="24"/>
        </w:rPr>
        <w:t xml:space="preserve">项目编号：                                   分包号：</w:t>
      </w:r>
      <w:r/>
    </w:p>
    <w:tbl>
      <w:tblPr>
        <w:tblStyle w:val="701"/>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20"/>
        </w:trPr>
        <w:tc>
          <w:tcPr>
            <w:tcW w:w="9450" w:type="dxa"/>
            <w:vAlign w:val="center"/>
            <w:textDirection w:val="lrTb"/>
            <w:noWrap w:val="false"/>
          </w:tcPr>
          <w:p>
            <w:pPr>
              <w:pStyle w:val="1045"/>
              <w:ind w:firstLine="0"/>
              <w:spacing w:before="0" w:after="0" w:line="500" w:lineRule="exact"/>
              <w:rPr>
                <w:rFonts w:hint="eastAsia" w:ascii="宋体" w:hAnsi="宋体"/>
                <w:color w:val="auto"/>
                <w:szCs w:val="21"/>
              </w:rPr>
            </w:pPr>
            <w:r>
              <w:rPr>
                <w:rFonts w:hint="eastAsia" w:ascii="宋体" w:hAnsi="宋体" w:cs="宋体"/>
                <w:color w:val="auto"/>
              </w:rPr>
              <w:t xml:space="preserve">小写（元）：                             </w:t>
            </w:r>
            <w:r/>
          </w:p>
        </w:tc>
      </w:tr>
    </w:tbl>
    <w:p>
      <w:pPr>
        <w:rPr>
          <w:rFonts w:hint="eastAsia" w:ascii="宋体" w:hAnsi="宋体"/>
          <w:color w:val="auto"/>
          <w:sz w:val="24"/>
          <w:szCs w:val="24"/>
        </w:rPr>
      </w:pPr>
      <w:r>
        <w:rPr>
          <w:rFonts w:hint="eastAsia" w:ascii="宋体" w:hAnsi="宋体"/>
          <w:color w:val="auto"/>
          <w:sz w:val="24"/>
          <w:szCs w:val="24"/>
        </w:rPr>
      </w:r>
      <w:r/>
    </w:p>
    <w:p>
      <w:pPr>
        <w:ind w:firstLine="480"/>
        <w:rPr>
          <w:rFonts w:hint="eastAsia"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ind w:firstLine="482"/>
        <w:jc w:val="left"/>
        <w:spacing w:line="360" w:lineRule="auto"/>
        <w:rPr>
          <w:rFonts w:ascii="黑体" w:eastAsia="黑体"/>
          <w:color w:val="auto"/>
          <w:sz w:val="32"/>
          <w:szCs w:val="32"/>
        </w:rPr>
        <w:outlineLvl w:val="0"/>
      </w:pPr>
      <w:r>
        <w:rPr>
          <w:rFonts w:hint="eastAsia" w:ascii="宋体" w:hAnsi="宋体"/>
          <w:b/>
          <w:bCs/>
          <w:color w:val="auto"/>
          <w:sz w:val="24"/>
          <w:szCs w:val="24"/>
        </w:rPr>
        <w:t xml:space="preserve">备注：投标人报价低于采购项目预算50%，或者低于采购项目最高限价45%，或者</w:t>
      </w:r>
      <w:r>
        <w:rPr>
          <w:rFonts w:hint="eastAsia" w:ascii="宋体" w:hAnsi="宋体"/>
          <w:b/>
          <w:bCs/>
          <w:color w:val="auto"/>
          <w:sz w:val="24"/>
          <w:szCs w:val="24"/>
          <w:lang w:val="zh-CN"/>
        </w:rPr>
        <w:t xml:space="preserve">报价</w:t>
      </w:r>
      <w:r>
        <w:rPr>
          <w:rFonts w:hint="eastAsia" w:ascii="宋体" w:hAnsi="宋体"/>
          <w:b/>
          <w:bCs/>
          <w:color w:val="auto"/>
          <w:sz w:val="24"/>
          <w:szCs w:val="24"/>
        </w:rPr>
        <w:t xml:space="preserve">过低</w:t>
      </w:r>
      <w:r>
        <w:rPr>
          <w:rFonts w:hint="eastAsia" w:ascii="宋体" w:hAnsi="宋体"/>
          <w:b/>
          <w:bCs/>
          <w:color w:val="auto"/>
          <w:sz w:val="24"/>
          <w:szCs w:val="24"/>
          <w:lang w:val="zh-CN"/>
        </w:rPr>
        <w:t xml:space="preserve">，有可能影响</w:t>
      </w:r>
      <w:r>
        <w:rPr>
          <w:rFonts w:hint="eastAsia" w:ascii="宋体" w:hAnsi="宋体"/>
          <w:b/>
          <w:bCs/>
          <w:color w:val="auto"/>
          <w:sz w:val="24"/>
          <w:szCs w:val="24"/>
        </w:rPr>
        <w:t xml:space="preserve">产品或服务</w:t>
      </w:r>
      <w:r>
        <w:rPr>
          <w:rFonts w:hint="eastAsia" w:ascii="宋体" w:hAnsi="宋体"/>
          <w:b/>
          <w:bCs/>
          <w:color w:val="auto"/>
          <w:sz w:val="24"/>
          <w:szCs w:val="24"/>
          <w:lang w:val="zh-CN"/>
        </w:rPr>
        <w:t xml:space="preserve">质量或不能诚信履约的，</w:t>
      </w:r>
      <w:r>
        <w:rPr>
          <w:rFonts w:hint="eastAsia" w:ascii="宋体" w:hAnsi="宋体"/>
          <w:b/>
          <w:bCs/>
          <w:color w:val="auto"/>
          <w:sz w:val="24"/>
          <w:szCs w:val="24"/>
        </w:rPr>
        <w:t xml:space="preserve">评委会将启动异常低价投标审查机制，投标人应</w:t>
      </w:r>
      <w:r>
        <w:rPr>
          <w:rFonts w:hint="eastAsia" w:ascii="宋体" w:hAnsi="宋体"/>
          <w:b/>
          <w:bCs/>
          <w:color w:val="auto"/>
          <w:sz w:val="24"/>
          <w:szCs w:val="24"/>
          <w:lang w:val="zh-CN"/>
        </w:rPr>
        <w:t xml:space="preserve">在</w:t>
      </w:r>
      <w:r>
        <w:rPr>
          <w:rFonts w:hint="eastAsia" w:ascii="宋体" w:hAnsi="宋体"/>
          <w:b/>
          <w:bCs/>
          <w:color w:val="auto"/>
          <w:sz w:val="24"/>
          <w:szCs w:val="24"/>
        </w:rPr>
        <w:t xml:space="preserve">评委会规定的合理</w:t>
      </w:r>
      <w:r>
        <w:rPr>
          <w:rFonts w:hint="eastAsia" w:ascii="宋体" w:hAnsi="宋体"/>
          <w:b/>
          <w:bCs/>
          <w:color w:val="auto"/>
          <w:sz w:val="24"/>
          <w:szCs w:val="24"/>
          <w:lang w:val="zh-CN"/>
        </w:rPr>
        <w:t xml:space="preserve">时间内</w:t>
      </w:r>
      <w:r>
        <w:rPr>
          <w:rFonts w:hint="eastAsia" w:ascii="宋体" w:hAnsi="宋体"/>
          <w:b/>
          <w:bCs/>
          <w:color w:val="auto"/>
          <w:sz w:val="24"/>
          <w:szCs w:val="24"/>
        </w:rPr>
        <w:t xml:space="preserve">通过苏采云系统</w:t>
      </w:r>
      <w:r>
        <w:rPr>
          <w:rFonts w:hint="eastAsia" w:ascii="宋体" w:hAnsi="宋体"/>
          <w:b/>
          <w:bCs/>
          <w:color w:val="auto"/>
          <w:sz w:val="24"/>
          <w:szCs w:val="24"/>
          <w:lang w:val="zh-CN"/>
        </w:rPr>
        <w:t xml:space="preserve">提供</w:t>
      </w:r>
      <w:r>
        <w:rPr>
          <w:rFonts w:hint="eastAsia" w:ascii="宋体" w:hAnsi="宋体"/>
          <w:b/>
          <w:bCs/>
          <w:color w:val="auto"/>
          <w:sz w:val="24"/>
          <w:szCs w:val="24"/>
        </w:rPr>
        <w:t xml:space="preserve">项目具体成本测算等与报价合理性相关的书面</w:t>
      </w:r>
      <w:r>
        <w:rPr>
          <w:rFonts w:hint="eastAsia" w:ascii="宋体" w:hAnsi="宋体"/>
          <w:b/>
          <w:bCs/>
          <w:color w:val="auto"/>
          <w:sz w:val="24"/>
          <w:szCs w:val="24"/>
          <w:lang w:val="zh-CN"/>
        </w:rPr>
        <w:t xml:space="preserve">说明</w:t>
      </w:r>
      <w:r>
        <w:rPr>
          <w:rFonts w:hint="eastAsia" w:ascii="宋体" w:hAnsi="宋体"/>
          <w:b/>
          <w:bCs/>
          <w:color w:val="auto"/>
          <w:sz w:val="24"/>
          <w:szCs w:val="24"/>
        </w:rPr>
        <w:t xml:space="preserve">及相关证明材料</w:t>
      </w:r>
      <w:r>
        <w:rPr>
          <w:rFonts w:hint="eastAsia" w:ascii="宋体" w:hAnsi="宋体"/>
          <w:b/>
          <w:bCs/>
          <w:color w:val="auto"/>
          <w:sz w:val="24"/>
          <w:szCs w:val="24"/>
          <w:lang w:val="zh-CN"/>
        </w:rPr>
        <w:t xml:space="preserve">。投标人</w:t>
      </w:r>
      <w:r>
        <w:rPr>
          <w:rFonts w:hint="eastAsia" w:ascii="宋体" w:hAnsi="宋体"/>
          <w:b/>
          <w:bCs/>
          <w:color w:val="auto"/>
          <w:sz w:val="24"/>
          <w:szCs w:val="24"/>
        </w:rPr>
        <w:t xml:space="preserve">不提供书面说明及证明材料，或者书面说明、证明材料</w:t>
      </w:r>
      <w:r>
        <w:rPr>
          <w:rFonts w:hint="eastAsia" w:ascii="宋体" w:hAnsi="宋体"/>
          <w:b/>
          <w:bCs/>
          <w:color w:val="auto"/>
          <w:sz w:val="24"/>
          <w:szCs w:val="24"/>
          <w:lang w:val="zh-CN"/>
        </w:rPr>
        <w:t xml:space="preserve">不能证明其报价合理性的，将作为无效投标处理。</w:t>
      </w:r>
      <w:r/>
    </w:p>
    <w:p>
      <w:pPr>
        <w:jc w:val="center"/>
        <w:spacing w:line="360" w:lineRule="auto"/>
        <w:rPr>
          <w:rFonts w:ascii="黑体" w:eastAsia="黑体"/>
          <w:color w:val="auto"/>
          <w:sz w:val="32"/>
          <w:szCs w:val="32"/>
        </w:rPr>
        <w:outlineLvl w:val="0"/>
      </w:pPr>
      <w:r>
        <w:rPr>
          <w:rFonts w:asci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核心产品品牌一览表</w:t>
      </w:r>
      <w:r/>
    </w:p>
    <w:tbl>
      <w:tblPr>
        <w:tblStyle w:val="70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t xml:space="preserve">序号</w:t>
            </w:r>
            <w:r/>
          </w:p>
        </w:tc>
        <w:tc>
          <w:tcPr>
            <w:tcW w:w="3753"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rPr>
              <w:t xml:space="preserve">产品</w:t>
            </w:r>
            <w:r>
              <w:rPr>
                <w:rFonts w:hint="eastAsia" w:ascii="宋体" w:hAnsi="宋体"/>
                <w:color w:val="auto"/>
                <w:sz w:val="24"/>
                <w:szCs w:val="24"/>
                <w:lang w:val="zh-CN"/>
              </w:rPr>
              <w:t xml:space="preserve">名称</w:t>
            </w:r>
            <w:r/>
          </w:p>
        </w:tc>
        <w:tc>
          <w:tcPr>
            <w:tcW w:w="2158"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rPr>
              <w:t xml:space="preserve">产品</w:t>
            </w:r>
            <w:r>
              <w:rPr>
                <w:rFonts w:hint="eastAsia" w:ascii="宋体" w:hAnsi="宋体"/>
                <w:color w:val="auto"/>
                <w:sz w:val="24"/>
                <w:szCs w:val="24"/>
                <w:lang w:val="zh-CN"/>
              </w:rPr>
              <w:t xml:space="preserve">品牌</w:t>
            </w:r>
            <w:r/>
          </w:p>
        </w:tc>
        <w:tc>
          <w:tcPr>
            <w:tcW w:w="2391"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t xml:space="preserve">1</w:t>
            </w:r>
            <w:r/>
          </w:p>
        </w:tc>
        <w:tc>
          <w:tcPr>
            <w:tcW w:w="3753" w:type="dxa"/>
            <w:vAlign w:val="center"/>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r>
            <w:r/>
          </w:p>
        </w:tc>
        <w:tc>
          <w:tcPr>
            <w:tcW w:w="2158" w:type="dxa"/>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r>
            <w:r/>
          </w:p>
        </w:tc>
        <w:tc>
          <w:tcPr>
            <w:tcW w:w="2391" w:type="dxa"/>
            <w:textDirection w:val="lrTb"/>
            <w:noWrap w:val="false"/>
          </w:tcPr>
          <w:p>
            <w:pPr>
              <w:jc w:val="center"/>
              <w:spacing w:line="0" w:lineRule="atLeast"/>
              <w:rPr>
                <w:rFonts w:hint="eastAsia" w:ascii="宋体" w:hAnsi="宋体"/>
                <w:color w:val="auto"/>
                <w:sz w:val="24"/>
                <w:szCs w:val="24"/>
                <w:lang w:val="zh-CN"/>
              </w:rPr>
            </w:pPr>
            <w:r>
              <w:rPr>
                <w:rFonts w:hint="eastAsia" w:ascii="宋体" w:hAnsi="宋体"/>
                <w:color w:val="auto"/>
                <w:sz w:val="24"/>
                <w:szCs w:val="24"/>
                <w:lang w:val="zh-CN"/>
              </w:rPr>
            </w:r>
            <w:r/>
          </w:p>
        </w:tc>
      </w:tr>
    </w:tbl>
    <w:p>
      <w:pPr>
        <w:ind w:firstLine="480"/>
        <w:jc w:val="left"/>
        <w:spacing w:line="360" w:lineRule="auto"/>
        <w:widowControl/>
        <w:rPr>
          <w:rFonts w:hint="eastAsia" w:ascii="宋体" w:hAnsi="宋体"/>
          <w:color w:val="auto"/>
          <w:sz w:val="24"/>
          <w:szCs w:val="24"/>
        </w:rPr>
      </w:pPr>
      <w:r>
        <w:rPr>
          <w:rFonts w:hint="eastAsia" w:ascii="宋体" w:hAnsi="宋体"/>
          <w:color w:val="auto"/>
          <w:sz w:val="24"/>
          <w:szCs w:val="24"/>
        </w:rPr>
      </w:r>
      <w:r/>
    </w:p>
    <w:p>
      <w:pPr>
        <w:ind w:firstLine="480"/>
        <w:rPr>
          <w:rFonts w:hint="eastAsia" w:ascii="宋体" w:hAnsi="宋体"/>
          <w:color w:val="auto"/>
          <w:sz w:val="24"/>
          <w:szCs w:val="24"/>
          <w:lang w:val="zh-CN"/>
        </w:rPr>
      </w:pPr>
      <w:r>
        <w:rPr>
          <w:rFonts w:hint="eastAsia" w:ascii="宋体" w:hAnsi="宋体"/>
          <w:color w:val="auto"/>
          <w:sz w:val="24"/>
          <w:szCs w:val="24"/>
        </w:rPr>
        <w:t xml:space="preserve">投标人</w:t>
      </w:r>
      <w:r>
        <w:rPr>
          <w:rFonts w:hint="eastAsia" w:ascii="宋体" w:hAnsi="宋体"/>
          <w:color w:val="auto"/>
          <w:sz w:val="24"/>
          <w:szCs w:val="24"/>
          <w:lang w:val="zh-CN"/>
        </w:rPr>
        <w:t xml:space="preserve">名称：（</w:t>
      </w:r>
      <w:r>
        <w:rPr>
          <w:rFonts w:hint="eastAsia" w:ascii="宋体" w:hAnsi="宋体"/>
          <w:color w:val="auto"/>
          <w:sz w:val="24"/>
          <w:szCs w:val="24"/>
        </w:rPr>
        <w:t xml:space="preserve">加盖电子公章</w:t>
      </w:r>
      <w:r>
        <w:rPr>
          <w:rFonts w:hint="eastAsia" w:ascii="宋体" w:hAnsi="宋体"/>
          <w:color w:val="auto"/>
          <w:sz w:val="24"/>
          <w:szCs w:val="24"/>
          <w:lang w:val="zh-CN"/>
        </w:rPr>
        <w:t xml:space="preserve">）</w:t>
      </w:r>
      <w:r/>
    </w:p>
    <w:p>
      <w:pPr>
        <w:ind w:firstLine="482"/>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2"/>
        <w:spacing w:line="480" w:lineRule="exact"/>
        <w:rPr>
          <w:rFonts w:hint="eastAsia" w:ascii="宋体" w:hAnsi="宋体"/>
          <w:b/>
          <w:bCs/>
          <w:color w:val="auto"/>
          <w:sz w:val="24"/>
          <w:szCs w:val="24"/>
        </w:rPr>
      </w:pPr>
      <w:r>
        <w:rPr>
          <w:rFonts w:hint="eastAsia" w:ascii="宋体" w:hAnsi="宋体"/>
          <w:b/>
          <w:bCs/>
          <w:color w:val="auto"/>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pStyle w:val="838"/>
        <w:ind w:firstLine="640"/>
        <w:rPr>
          <w:rFonts w:hint="eastAsia" w:ascii="黑体" w:hAnsi="黑体" w:eastAsia="黑体"/>
          <w:color w:val="auto"/>
          <w:sz w:val="32"/>
          <w:szCs w:val="32"/>
        </w:rPr>
      </w:pPr>
      <w:r>
        <w:rPr>
          <w:rFonts w:hint="eastAsia" w:ascii="黑体" w:hAnsi="黑体" w:eastAsia="黑体"/>
          <w:color w:val="auto"/>
          <w:sz w:val="32"/>
          <w:szCs w:val="32"/>
        </w:rPr>
      </w:r>
      <w:r/>
    </w:p>
    <w:p>
      <w:pPr>
        <w:pStyle w:val="838"/>
        <w:rPr>
          <w:rFonts w:hint="eastAsia" w:ascii="黑体" w:hAnsi="黑体" w:eastAsia="黑体"/>
          <w:color w:val="auto"/>
          <w:sz w:val="32"/>
          <w:szCs w:val="32"/>
        </w:rPr>
      </w:pPr>
      <w:r>
        <w:rPr>
          <w:rFonts w:hint="eastAsia"/>
          <w:color w:val="auto"/>
        </w:rPr>
        <w:br w:type="page" w:clear="all"/>
      </w:r>
      <w:r>
        <w:rPr>
          <w:rFonts w:hint="eastAsia" w:ascii="黑体" w:hAnsi="黑体" w:eastAsia="黑体"/>
          <w:color w:val="auto"/>
          <w:sz w:val="32"/>
          <w:szCs w:val="32"/>
        </w:rPr>
        <w:t xml:space="preserve">七、投标分项报价表</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投标分项报价表</w:t>
      </w:r>
      <w:r/>
    </w:p>
    <w:tbl>
      <w:tblPr>
        <w:tblStyle w:val="701"/>
        <w:tblW w:w="96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8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1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p>
        </w:tc>
        <w:tc>
          <w:tcPr>
            <w:tcW w:w="8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11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8"/>
            <w:tcW w:w="9090" w:type="dxa"/>
            <w:vAlign w:val="center"/>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t xml:space="preserve">投标总价（元）：</w:t>
            </w:r>
            <w:r/>
          </w:p>
        </w:tc>
      </w:tr>
    </w:tbl>
    <w:p>
      <w:pPr>
        <w:ind w:firstLine="480"/>
        <w:rPr>
          <w:rFonts w:hint="eastAsia" w:ascii="宋体" w:hAnsi="宋体"/>
          <w:color w:val="auto"/>
          <w:sz w:val="24"/>
          <w:szCs w:val="24"/>
        </w:rPr>
      </w:pPr>
      <w:r>
        <w:rPr>
          <w:rFonts w:hint="eastAsia" w:ascii="宋体" w:hAnsi="宋体"/>
          <w:color w:val="auto"/>
          <w:sz w:val="24"/>
          <w:szCs w:val="24"/>
        </w:rPr>
      </w:r>
      <w:r/>
    </w:p>
    <w:p>
      <w:pPr>
        <w:ind w:firstLine="480"/>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hint="eastAsia" w:ascii="宋体" w:hAnsi="宋体"/>
          <w:color w:val="auto"/>
          <w:sz w:val="24"/>
          <w:szCs w:val="24"/>
        </w:rPr>
      </w:pPr>
      <w:r>
        <w:rPr>
          <w:rFonts w:hint="eastAsia" w:ascii="宋体" w:hAnsi="宋体"/>
          <w:color w:val="auto"/>
          <w:sz w:val="24"/>
          <w:szCs w:val="24"/>
        </w:rPr>
      </w:r>
      <w:r/>
    </w:p>
    <w:p>
      <w:pPr>
        <w:pStyle w:val="1021"/>
        <w:ind w:firstLine="480"/>
        <w:jc w:val="both"/>
        <w:spacing w:before="0" w:beforeAutospacing="0" w:after="0" w:afterAutospacing="0" w:line="360" w:lineRule="auto"/>
        <w:rPr>
          <w:rFonts w:hint="eastAsia"/>
          <w:color w:val="auto"/>
        </w:rPr>
        <w:pBdr>
          <w:top w:val="none" w:color="000000" w:sz="0" w:space="0"/>
          <w:left w:val="none" w:color="000000" w:sz="0" w:space="0"/>
          <w:bottom w:val="none" w:color="000000" w:sz="0" w:space="0"/>
          <w:right w:val="none" w:color="000000" w:sz="0" w:space="0"/>
          <w:between w:val="none" w:color="000000" w:sz="0" w:space="0"/>
        </w:pBdr>
      </w:pPr>
      <w:r>
        <w:rPr>
          <w:color w:val="auto"/>
        </w:rPr>
        <w:t xml:space="preserve">备注： </w:t>
      </w:r>
      <w:r/>
    </w:p>
    <w:p>
      <w:pPr>
        <w:pStyle w:val="1021"/>
        <w:ind w:firstLine="480"/>
        <w:jc w:val="both"/>
        <w:spacing w:before="0" w:beforeAutospacing="0" w:after="0" w:afterAutospacing="0" w:line="360" w:lineRule="auto"/>
        <w:rPr>
          <w:rFonts w:hint="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rPr>
        <w:t xml:space="preserve">1.“投标总报价”应包括为完成整个项目所产生的所有费用，招标文件另有规定的除外。</w:t>
      </w:r>
      <w:r/>
    </w:p>
    <w:p>
      <w:pPr>
        <w:pStyle w:val="1021"/>
        <w:ind w:firstLine="480"/>
        <w:jc w:val="both"/>
        <w:spacing w:before="0" w:beforeAutospacing="0" w:after="0" w:afterAutospacing="0" w:line="360" w:lineRule="auto"/>
        <w:rPr>
          <w:rFonts w:hint="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rPr>
        <w:t xml:space="preserve">2.《投标分项报价表》中“投标总价”应当与《开标一览表》中“投标总报价”一致。</w:t>
      </w:r>
      <w:r/>
    </w:p>
    <w:p>
      <w:pPr>
        <w:pStyle w:val="1021"/>
        <w:ind w:firstLine="480"/>
        <w:jc w:val="both"/>
        <w:spacing w:before="0" w:beforeAutospacing="0" w:after="0" w:afterAutospacing="0" w:line="360" w:lineRule="auto"/>
        <w:rPr>
          <w:rFonts w:hint="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rPr>
        <w:t xml:space="preserve">3.供应商所投产品须与“第四章-项目清单”中的产品一一对应，如有缺项、漏项或者超出单价上限，视为无效投标。“项目清单”中分项仅为一项的，此表无需提供。</w:t>
      </w:r>
      <w:r/>
    </w:p>
    <w:p>
      <w:pPr>
        <w:pStyle w:val="1021"/>
        <w:ind w:firstLine="480"/>
        <w:jc w:val="both"/>
        <w:spacing w:before="0" w:beforeAutospacing="0" w:after="0" w:afterAutospacing="0" w:line="360" w:lineRule="auto"/>
        <w:rPr>
          <w:rFonts w:hint="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rPr>
        <w:t xml:space="preserve">4.行数不够，可自行添加。</w:t>
      </w:r>
      <w:r/>
    </w:p>
    <w:p>
      <w:pPr>
        <w:spacing w:line="480" w:lineRule="exact"/>
        <w:rPr>
          <w:rFonts w:hint="eastAsia" w:ascii="黑体" w:hAnsi="黑体" w:eastAsia="黑体"/>
          <w:color w:val="auto"/>
          <w:sz w:val="32"/>
          <w:szCs w:val="32"/>
        </w:rPr>
      </w:pPr>
      <w:r>
        <w:rPr>
          <w:rFonts w:hint="eastAsia" w:ascii="宋体" w:hAnsi="宋体"/>
          <w:color w:val="auto"/>
          <w:sz w:val="24"/>
          <w:szCs w:val="24"/>
        </w:rPr>
        <w:br w:type="page" w:clear="all"/>
      </w:r>
      <w:r>
        <w:rPr>
          <w:rFonts w:hint="eastAsia" w:ascii="黑体" w:hAnsi="黑体" w:eastAsia="黑体"/>
          <w:color w:val="auto"/>
          <w:sz w:val="32"/>
          <w:szCs w:val="32"/>
        </w:rPr>
        <w:t xml:space="preserve">八、技术要求响应及偏离表</w:t>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7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8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46"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spacing w:line="560" w:lineRule="exact"/>
        <w:rPr>
          <w:rFonts w:hint="eastAsia" w:ascii="宋体" w:hAnsi="宋体"/>
          <w:color w:val="auto"/>
          <w:sz w:val="24"/>
          <w:szCs w:val="24"/>
        </w:rPr>
      </w:pPr>
      <w:r>
        <w:rPr>
          <w:rFonts w:hint="eastAsia" w:ascii="宋体" w:hAnsi="宋体"/>
          <w:color w:val="auto"/>
          <w:sz w:val="24"/>
          <w:szCs w:val="24"/>
        </w:rPr>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1021"/>
        <w:ind w:firstLine="480"/>
        <w:jc w:val="both"/>
        <w:spacing w:before="0" w:beforeAutospacing="0" w:after="0" w:afterAutospacing="0"/>
        <w:rPr>
          <w:rFonts w:hint="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rPr>
      </w:r>
      <w:r/>
    </w:p>
    <w:p>
      <w:pPr>
        <w:pStyle w:val="1021"/>
        <w:ind w:firstLine="480"/>
        <w:jc w:val="both"/>
        <w:spacing w:before="0" w:beforeAutospacing="0" w:after="0" w:afterAutospacing="0" w:line="360" w:lineRule="auto"/>
        <w:rPr>
          <w:rFonts w:hint="eastAsia"/>
          <w:color w:val="auto"/>
        </w:rPr>
      </w:pPr>
      <w:r>
        <w:rPr>
          <w:color w:val="auto"/>
        </w:rPr>
        <w:t xml:space="preserve">备注： </w:t>
      </w:r>
      <w:r/>
    </w:p>
    <w:p>
      <w:pPr>
        <w:pStyle w:val="1021"/>
        <w:ind w:firstLine="480"/>
        <w:jc w:val="both"/>
        <w:spacing w:before="0" w:beforeAutospacing="0" w:after="0" w:afterAutospacing="0" w:line="360" w:lineRule="auto"/>
        <w:rPr>
          <w:rFonts w:hint="eastAsia"/>
          <w:color w:val="auto"/>
        </w:rPr>
      </w:pPr>
      <w:r>
        <w:rPr>
          <w:rFonts w:hint="eastAsia"/>
          <w:color w:val="auto"/>
        </w:rPr>
        <w:t xml:space="preserve">1.供应商须对招标文件技术要求中的实质性要求（斜体下划线内容或打“★”内容）及其他要求做出明确响应，否则视为无效投标。</w:t>
      </w:r>
      <w:r/>
    </w:p>
    <w:p>
      <w:pPr>
        <w:pStyle w:val="1021"/>
        <w:ind w:firstLine="480"/>
        <w:jc w:val="both"/>
        <w:spacing w:before="0" w:beforeAutospacing="0" w:after="0" w:afterAutospacing="0" w:line="360" w:lineRule="auto"/>
        <w:rPr>
          <w:rFonts w:hint="eastAsia"/>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21"/>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color w:val="auto"/>
        </w:rPr>
        <w:br w:type="page" w:clear="all"/>
      </w:r>
      <w:r>
        <w:rPr>
          <w:rFonts w:hint="eastAsia" w:ascii="黑体" w:hAnsi="黑体" w:eastAsia="黑体"/>
          <w:color w:val="auto"/>
          <w:sz w:val="32"/>
          <w:szCs w:val="32"/>
        </w:rPr>
        <w:t xml:space="preserve">九、商务要求响应及偏离表</w:t>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7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87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95"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78"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spacing w:line="560" w:lineRule="exact"/>
        <w:rPr>
          <w:rFonts w:hint="eastAsia" w:ascii="宋体" w:hAnsi="宋体"/>
          <w:color w:val="auto"/>
          <w:sz w:val="24"/>
          <w:szCs w:val="24"/>
        </w:rPr>
      </w:pPr>
      <w:r>
        <w:rPr>
          <w:rFonts w:hint="eastAsia" w:ascii="宋体" w:hAnsi="宋体"/>
          <w:color w:val="auto"/>
          <w:sz w:val="24"/>
          <w:szCs w:val="24"/>
        </w:rPr>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ind w:firstLine="480"/>
        <w:rPr>
          <w:rFonts w:hint="eastAsia" w:ascii="宋体" w:hAnsi="宋体"/>
          <w:color w:val="auto"/>
          <w:sz w:val="24"/>
          <w:szCs w:val="24"/>
        </w:rPr>
      </w:pPr>
      <w:r>
        <w:rPr>
          <w:rFonts w:hint="eastAsia" w:ascii="宋体" w:hAnsi="宋体"/>
          <w:color w:val="auto"/>
          <w:sz w:val="24"/>
          <w:szCs w:val="24"/>
        </w:rPr>
      </w:r>
      <w:r/>
    </w:p>
    <w:p>
      <w:pPr>
        <w:pStyle w:val="1021"/>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1021"/>
        <w:ind w:firstLine="480"/>
        <w:jc w:val="both"/>
        <w:spacing w:before="0" w:beforeAutospacing="0" w:after="0" w:afterAutospacing="0" w:line="360" w:lineRule="auto"/>
        <w:rPr>
          <w:rFonts w:hint="eastAsia"/>
          <w:color w:val="auto"/>
        </w:rPr>
      </w:pPr>
      <w:r>
        <w:rPr>
          <w:rFonts w:hint="eastAsia"/>
          <w:color w:val="auto"/>
        </w:rPr>
        <w:t xml:space="preserve">1.供应商须对招标文件商务要求中的实质性要求（斜体下划线内容或打“★”内容）做出明确响应，否则视为无效投标。</w:t>
      </w:r>
      <w:r/>
    </w:p>
    <w:p>
      <w:pPr>
        <w:pStyle w:val="1021"/>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p>
    <w:p>
      <w:pPr>
        <w:spacing w:line="480" w:lineRule="auto"/>
        <w:rPr>
          <w:rFonts w:hint="eastAsia" w:ascii="宋体" w:hAnsi="宋体"/>
          <w:color w:val="auto"/>
          <w:sz w:val="24"/>
          <w:szCs w:val="21"/>
        </w:rPr>
      </w:pPr>
      <w:r>
        <w:rPr>
          <w:rFonts w:hint="eastAsia" w:ascii="宋体" w:hAnsi="宋体"/>
          <w:color w:val="auto"/>
          <w:sz w:val="24"/>
          <w:szCs w:val="21"/>
        </w:rPr>
      </w:r>
      <w:r/>
    </w:p>
    <w:p>
      <w:pPr>
        <w:spacing w:line="480" w:lineRule="auto"/>
        <w:rPr>
          <w:rFonts w:hint="eastAsia" w:ascii="黑体" w:hAnsi="黑体" w:eastAsia="黑体"/>
          <w:color w:val="auto"/>
          <w:sz w:val="32"/>
          <w:szCs w:val="32"/>
        </w:rPr>
      </w:pPr>
      <w:r>
        <w:rPr>
          <w:rFonts w:ascii="仿宋_GB2312" w:hAnsi="Arial"/>
          <w:color w:val="auto"/>
          <w:sz w:val="30"/>
          <w:szCs w:val="21"/>
        </w:rPr>
        <w:br w:type="page" w:clear="all"/>
      </w:r>
      <w:r>
        <w:rPr>
          <w:rFonts w:hint="eastAsia" w:ascii="黑体" w:hAnsi="黑体" w:eastAsia="黑体"/>
          <w:color w:val="auto"/>
          <w:sz w:val="32"/>
          <w:szCs w:val="32"/>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中小企业声明函（货物）</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项目（分包号：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行业（招标文件中明确的所属行业）；制造商为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702"/>
        <w:spacing w:line="336" w:lineRule="auto"/>
        <w:rPr>
          <w:rFonts w:ascii="宋体" w:hAnsi="宋体"/>
          <w:color w:val="auto"/>
          <w:sz w:val="24"/>
          <w:szCs w:val="24"/>
        </w:rPr>
      </w:pPr>
      <w:r>
        <w:rPr>
          <w:rFonts w:ascii="宋体" w:hAnsi="宋体"/>
          <w:color w:val="auto"/>
          <w:sz w:val="24"/>
          <w:szCs w:val="24"/>
        </w:rPr>
      </w:r>
      <w:r/>
    </w:p>
    <w:p>
      <w:pPr>
        <w:spacing w:line="336" w:lineRule="auto"/>
        <w:rPr>
          <w:color w:val="auto"/>
        </w:rPr>
      </w:pPr>
      <w:r>
        <w:rPr>
          <w:color w:val="auto"/>
        </w:rPr>
      </w:r>
      <w:r/>
    </w:p>
    <w:p>
      <w:pPr>
        <w:ind w:right="180" w:firstLine="360"/>
        <w:jc w:val="center"/>
        <w:spacing w:line="336"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36" w:lineRule="auto"/>
        <w:rPr>
          <w:rFonts w:hint="eastAsia" w:ascii="宋体" w:hAnsi="宋体"/>
          <w:color w:val="auto"/>
          <w:sz w:val="24"/>
          <w:szCs w:val="24"/>
        </w:rPr>
      </w:pPr>
      <w:r>
        <w:rPr>
          <w:rFonts w:hint="eastAsia"/>
          <w:color w:val="auto"/>
          <w:sz w:val="24"/>
          <w:szCs w:val="24"/>
        </w:rPr>
        <w:t xml:space="preserve">日    期：</w:t>
      </w:r>
      <w:r/>
    </w:p>
    <w:p>
      <w:pPr>
        <w:ind w:firstLine="480"/>
        <w:spacing w:line="336" w:lineRule="auto"/>
        <w:rPr>
          <w:rFonts w:hint="eastAsia" w:ascii="宋体" w:hAnsi="宋体"/>
          <w:color w:val="auto"/>
          <w:sz w:val="24"/>
          <w:szCs w:val="24"/>
        </w:rPr>
      </w:pPr>
      <w:r>
        <w:rPr>
          <w:rFonts w:hint="eastAsia" w:ascii="宋体" w:hAnsi="宋体"/>
          <w:color w:val="auto"/>
          <w:sz w:val="24"/>
          <w:szCs w:val="24"/>
        </w:rPr>
      </w:r>
      <w:r/>
    </w:p>
    <w:p>
      <w:pPr>
        <w:ind w:firstLine="480"/>
        <w:spacing w:line="336" w:lineRule="auto"/>
        <w:rPr>
          <w:rFonts w:hint="eastAsia"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auto"/>
          <w:sz w:val="24"/>
          <w:szCs w:val="24"/>
        </w:rPr>
        <w:t xml:space="preserve">（货物由中小企业制造，即货物由中小企业生产且使用该中小企业商号或者注册商标）</w:t>
      </w:r>
      <w:r>
        <w:rPr>
          <w:rFonts w:hint="eastAsia" w:ascii="宋体" w:hAnsi="宋体"/>
          <w:color w:val="auto"/>
          <w:sz w:val="24"/>
          <w:szCs w:val="24"/>
        </w:rPr>
        <w:t xml:space="preserve">，不对其中涉及的服务的承接商、工程的承建商作出要求。</w:t>
      </w:r>
      <w:r/>
    </w:p>
    <w:p>
      <w:pPr>
        <w:pStyle w:val="702"/>
        <w:rPr>
          <w:rFonts w:hint="eastAsia" w:ascii="黑体" w:hAnsi="黑体" w:eastAsia="黑体"/>
          <w:color w:val="auto"/>
          <w:sz w:val="32"/>
          <w:szCs w:val="32"/>
        </w:rPr>
      </w:pPr>
      <w:r>
        <w:rPr>
          <w:rFonts w:hint="eastAsia"/>
          <w:color w:val="auto"/>
        </w:rPr>
        <w:br w:type="page" w:clear="all"/>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项目（分包号：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702"/>
        <w:rPr>
          <w:rFonts w:ascii="宋体" w:hAnsi="宋体"/>
          <w:color w:val="auto"/>
          <w:sz w:val="24"/>
          <w:szCs w:val="24"/>
        </w:rPr>
      </w:pPr>
      <w:r>
        <w:rPr>
          <w:rFonts w:ascii="宋体" w:hAnsi="宋体"/>
          <w:color w:val="auto"/>
          <w:sz w:val="24"/>
          <w:szCs w:val="24"/>
        </w:rPr>
      </w:r>
      <w:r/>
    </w:p>
    <w:p>
      <w:pPr>
        <w:rPr>
          <w:color w:val="auto"/>
        </w:rPr>
      </w:pPr>
      <w:r>
        <w:rPr>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480" w:lineRule="exact"/>
        <w:rPr>
          <w:rFonts w:hint="eastAsia" w:ascii="宋体" w:hAnsi="宋体"/>
          <w:color w:val="auto"/>
          <w:sz w:val="24"/>
        </w:rPr>
      </w:pPr>
      <w:r>
        <w:rPr>
          <w:rFonts w:hint="eastAsia" w:ascii="宋体" w:hAnsi="宋体"/>
          <w:color w:val="auto"/>
          <w:sz w:val="24"/>
        </w:rPr>
        <w:t xml:space="preserve">备注：</w:t>
      </w:r>
      <w:r/>
    </w:p>
    <w:p>
      <w:pPr>
        <w:ind w:firstLine="480"/>
        <w:spacing w:line="480" w:lineRule="exact"/>
        <w:rPr>
          <w:rFonts w:hint="eastAsia"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480" w:lineRule="exact"/>
        <w:rPr>
          <w:rFonts w:hint="eastAsia"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rPr>
      </w:pPr>
      <w:r>
        <w:rPr>
          <w:rFonts w:ascii="仿宋_GB2312" w:eastAsia="仿宋_GB2312"/>
          <w:color w:val="auto"/>
          <w:spacing w:val="6"/>
          <w:sz w:val="30"/>
          <w:szCs w:val="30"/>
        </w:rPr>
      </w:r>
      <w:r/>
    </w:p>
    <w:p>
      <w:pPr>
        <w:pStyle w:val="1072"/>
        <w:rPr>
          <w:rFonts w:hint="eastAsia"/>
          <w:color w:val="auto"/>
        </w:rPr>
      </w:pPr>
      <w:r>
        <w:rPr>
          <w:rFonts w:hint="eastAsia"/>
          <w:color w:val="auto"/>
        </w:rPr>
      </w:r>
      <w:r/>
    </w:p>
    <w:p>
      <w:pPr>
        <w:ind w:firstLine="5760"/>
        <w:spacing w:line="560" w:lineRule="exact"/>
        <w:rPr>
          <w:rFonts w:hint="eastAsia" w:ascii="宋体" w:hAnsi="宋体"/>
          <w:color w:val="auto"/>
          <w:sz w:val="24"/>
          <w:szCs w:val="24"/>
        </w:rPr>
      </w:pPr>
      <w:r>
        <w:rPr>
          <w:rFonts w:hint="eastAsia" w:ascii="宋体" w:hAnsi="宋体"/>
          <w:color w:val="auto"/>
          <w:sz w:val="24"/>
          <w:szCs w:val="24"/>
        </w:rPr>
        <w:t xml:space="preserve">                                         </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color w:val="auto"/>
          <w:sz w:val="32"/>
          <w:szCs w:val="32"/>
        </w:rPr>
      </w:pPr>
      <w:r>
        <w:rPr>
          <w:rFonts w:hint="eastAsia" w:ascii="黑体" w:hAnsi="黑体" w:eastAsia="黑体"/>
          <w:b/>
          <w:color w:val="auto"/>
          <w:sz w:val="32"/>
          <w:szCs w:val="32"/>
        </w:rPr>
        <w:br w:type="page" w:clear="all"/>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十二、联合体协议</w:t>
      </w:r>
      <w:r/>
    </w:p>
    <w:p>
      <w:pPr>
        <w:jc w:val="center"/>
        <w:spacing w:line="360" w:lineRule="auto"/>
        <w:rPr>
          <w:rFonts w:ascii="方正小标宋简体" w:hAnsi="方正小标宋简体" w:eastAsia="方正小标宋简体" w:cs="方正小标宋简体"/>
          <w:color w:val="auto"/>
          <w:sz w:val="32"/>
          <w:szCs w:val="32"/>
        </w:rPr>
        <w:outlineLvl w:val="0"/>
      </w:pPr>
      <w:r>
        <w:rPr>
          <w:rFonts w:hint="eastAsia" w:ascii="方正小标宋简体" w:hAnsi="方正小标宋简体" w:eastAsia="方正小标宋简体" w:cs="方正小标宋简体"/>
          <w:color w:val="auto"/>
          <w:sz w:val="32"/>
          <w:szCs w:val="32"/>
        </w:rPr>
        <w:t xml:space="preserve">联合体协议</w:t>
      </w:r>
      <w:r/>
    </w:p>
    <w:p>
      <w:pPr>
        <w:spacing w:line="360" w:lineRule="auto"/>
        <w:rPr>
          <w:rFonts w:hint="eastAsia" w:ascii="宋体" w:hAnsi="宋体"/>
          <w:color w:val="auto"/>
          <w:sz w:val="24"/>
        </w:rPr>
      </w:pPr>
      <w:r>
        <w:rPr>
          <w:rFonts w:hint="eastAsia" w:ascii="宋体" w:hAnsi="宋体"/>
          <w:color w:val="auto"/>
          <w:sz w:val="24"/>
        </w:rPr>
        <w:t xml:space="preserve">（联合体中各供应商全称）在此达成以下协议：</w:t>
      </w:r>
      <w:r/>
    </w:p>
    <w:p>
      <w:pPr>
        <w:ind w:firstLine="645"/>
        <w:spacing w:line="360" w:lineRule="auto"/>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项目（分包号：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，并指定</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（供应商名称）为牵头单位。</w:t>
      </w:r>
      <w:r/>
    </w:p>
    <w:p>
      <w:pPr>
        <w:ind w:firstLine="645"/>
        <w:spacing w:line="360" w:lineRule="auto"/>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.若我们联合中标，</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w:t>
      </w:r>
      <w:r>
        <w:rPr>
          <w:rFonts w:hint="eastAsia" w:ascii="宋体" w:hAnsi="宋体"/>
          <w:color w:val="auto"/>
          <w:sz w:val="24"/>
          <w:szCs w:val="24"/>
          <w:u w:val="single"/>
        </w:rPr>
        <w:t xml:space="preserve">XXXXXXXXXXXXXXXXXXX</w:t>
      </w:r>
      <w:r>
        <w:rPr>
          <w:rFonts w:hint="eastAsia" w:ascii="宋体" w:hAnsi="宋体"/>
          <w:color w:val="auto"/>
          <w:sz w:val="24"/>
        </w:rPr>
        <w:t xml:space="preserve">（供应商名称）实施项目中</w:t>
      </w:r>
      <w:r>
        <w:rPr>
          <w:rFonts w:hint="eastAsia" w:ascii="宋体" w:hAnsi="宋体"/>
          <w:color w:val="auto"/>
          <w:sz w:val="24"/>
          <w:u w:val="single"/>
        </w:rPr>
        <w:t xml:space="preserve">XXXXXXXXX</w:t>
      </w:r>
      <w:r>
        <w:rPr>
          <w:rFonts w:hint="eastAsia" w:ascii="宋体" w:hAnsi="宋体"/>
          <w:color w:val="auto"/>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.其中，</w:t>
      </w:r>
      <w:r>
        <w:rPr>
          <w:rFonts w:hint="eastAsia" w:ascii="宋体" w:hAnsi="宋体"/>
          <w:color w:val="auto"/>
          <w:sz w:val="24"/>
          <w:u w:val="single"/>
        </w:rPr>
        <w:t xml:space="preserve">XXXXXXXXX</w:t>
      </w:r>
      <w:r>
        <w:rPr>
          <w:rFonts w:hint="eastAsia" w:ascii="宋体" w:hAnsi="宋体"/>
          <w:color w:val="auto"/>
          <w:sz w:val="24"/>
        </w:rPr>
        <w:t xml:space="preserve">（企业全称）为</w:t>
      </w:r>
      <w:r>
        <w:rPr>
          <w:rFonts w:ascii="Wingdings" w:hAnsi="Wingdings" w:eastAsia="Wingdings" w:cs="Wingdings"/>
          <w:color w:val="auto"/>
          <w:sz w:val="24"/>
          <w:szCs w:val="24"/>
        </w:rPr>
        <w:t xml:space="preserve"></w:t>
      </w:r>
      <w:r>
        <w:rPr>
          <w:rFonts w:hint="eastAsia" w:ascii="宋体" w:hAnsi="宋体"/>
          <w:color w:val="auto"/>
          <w:sz w:val="24"/>
        </w:rPr>
        <w:t xml:space="preserve">小型、微型企业 </w:t>
      </w:r>
      <w:r>
        <w:rPr>
          <w:rFonts w:ascii="Wingdings" w:hAnsi="Wingdings" w:eastAsia="Wingdings" w:cs="Wingdings"/>
          <w:color w:val="auto"/>
          <w:sz w:val="24"/>
          <w:szCs w:val="24"/>
        </w:rPr>
        <w:t xml:space="preserve"></w:t>
      </w:r>
      <w:r>
        <w:rPr>
          <w:rFonts w:hint="eastAsia" w:ascii="宋体" w:hAnsi="宋体"/>
          <w:color w:val="auto"/>
          <w:sz w:val="24"/>
        </w:rPr>
        <w:t xml:space="preserve">残疾人福利性单位 </w:t>
      </w:r>
      <w:r>
        <w:rPr>
          <w:rFonts w:ascii="Wingdings" w:hAnsi="Wingdings" w:eastAsia="Wingdings" w:cs="Wingdings"/>
          <w:color w:val="auto"/>
          <w:sz w:val="24"/>
          <w:szCs w:val="24"/>
        </w:rPr>
        <w:t xml:space="preserve"></w:t>
      </w:r>
      <w:r>
        <w:rPr>
          <w:rFonts w:hint="eastAsia" w:ascii="宋体" w:hAnsi="宋体"/>
          <w:color w:val="auto"/>
          <w:sz w:val="24"/>
        </w:rPr>
        <w:t xml:space="preserve">监狱企业，且我们约定该单位所承担的合同金额将占本项目合同总金额的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p>
    <w:p>
      <w:pPr>
        <w:ind w:firstLine="645"/>
        <w:spacing w:line="560" w:lineRule="exact"/>
        <w:rPr>
          <w:rFonts w:hint="eastAsia" w:ascii="宋体" w:hAnsi="宋体"/>
          <w:color w:val="auto"/>
          <w:sz w:val="24"/>
        </w:rPr>
      </w:pPr>
      <w:r>
        <w:rPr>
          <w:rFonts w:hint="eastAsia" w:ascii="宋体" w:hAnsi="宋体"/>
          <w:color w:val="auto"/>
          <w:sz w:val="24"/>
        </w:rPr>
      </w:r>
      <w:r/>
    </w:p>
    <w:p>
      <w:pPr>
        <w:ind w:firstLine="645"/>
        <w:spacing w:line="560" w:lineRule="exact"/>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p>
    <w:p>
      <w:pPr>
        <w:ind w:firstLine="645"/>
        <w:jc w:val="right"/>
        <w:spacing w:line="560" w:lineRule="exact"/>
        <w:rPr>
          <w:rFonts w:hint="eastAsia"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szCs w:val="24"/>
        </w:rPr>
        <w:t xml:space="preserve">（加盖电子公章）</w:t>
      </w:r>
      <w:r>
        <w:rPr>
          <w:rFonts w:ascii="宋体" w:hAnsi="宋体"/>
          <w:color w:val="auto"/>
          <w:sz w:val="24"/>
        </w:rPr>
        <w:t xml:space="preserve">    </w:t>
      </w:r>
      <w:r/>
    </w:p>
    <w:p>
      <w:pPr>
        <w:ind w:firstLine="5280"/>
        <w:spacing w:line="560" w:lineRule="exact"/>
        <w:rPr>
          <w:rFonts w:hint="eastAsia" w:ascii="宋体" w:hAnsi="宋体"/>
          <w:color w:val="auto"/>
          <w:sz w:val="24"/>
          <w:szCs w:val="24"/>
        </w:rPr>
      </w:pPr>
      <w:r>
        <w:rPr>
          <w:rFonts w:hint="eastAsia"/>
          <w:color w:val="auto"/>
          <w:sz w:val="24"/>
          <w:szCs w:val="24"/>
        </w:rPr>
        <w:t xml:space="preserve">日   期：</w:t>
      </w:r>
      <w:r/>
    </w:p>
    <w:p>
      <w:pPr>
        <w:ind w:firstLine="480"/>
        <w:spacing w:line="480" w:lineRule="exact"/>
        <w:rPr>
          <w:rFonts w:hint="eastAsia" w:ascii="宋体" w:hAnsi="宋体"/>
          <w:color w:val="auto"/>
          <w:sz w:val="24"/>
        </w:rPr>
      </w:pPr>
      <w:r>
        <w:rPr>
          <w:rFonts w:hint="eastAsia" w:ascii="宋体" w:hAnsi="宋体"/>
          <w:color w:val="auto"/>
          <w:sz w:val="24"/>
        </w:rPr>
      </w:r>
      <w:r/>
    </w:p>
    <w:p>
      <w:pPr>
        <w:ind w:firstLine="480"/>
        <w:spacing w:line="480" w:lineRule="exact"/>
        <w:rPr>
          <w:rFonts w:hint="eastAsia" w:ascii="宋体" w:hAnsi="宋体"/>
          <w:color w:val="auto"/>
          <w:sz w:val="24"/>
        </w:rPr>
      </w:pPr>
      <w:r>
        <w:rPr>
          <w:rFonts w:hint="eastAsia" w:ascii="宋体" w:hAnsi="宋体"/>
          <w:color w:val="auto"/>
          <w:sz w:val="24"/>
        </w:rPr>
        <w:t xml:space="preserve">备注：</w:t>
      </w:r>
      <w:r/>
    </w:p>
    <w:p>
      <w:pPr>
        <w:ind w:firstLine="480"/>
        <w:spacing w:line="480" w:lineRule="exact"/>
        <w:rPr>
          <w:rFonts w:hint="eastAsia" w:ascii="宋体" w:hAnsi="宋体"/>
          <w:color w:val="auto"/>
          <w:sz w:val="24"/>
        </w:rPr>
      </w:pPr>
      <w:r>
        <w:rPr>
          <w:rFonts w:hint="eastAsia" w:ascii="宋体" w:hAnsi="宋体"/>
          <w:color w:val="auto"/>
          <w:sz w:val="24"/>
        </w:rPr>
        <w:t xml:space="preserve">1.牵头单位必须为联合体成员。</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w:t>
      </w:r>
      <w:r/>
    </w:p>
    <w:p>
      <w:pPr>
        <w:ind w:firstLine="480"/>
        <w:spacing w:line="480" w:lineRule="exact"/>
        <w:rPr>
          <w:rFonts w:hint="eastAsia" w:ascii="宋体" w:hAnsi="宋体"/>
          <w:color w:val="auto"/>
          <w:sz w:val="24"/>
        </w:rPr>
      </w:pPr>
      <w:r>
        <w:rPr>
          <w:rFonts w:hint="eastAsia" w:ascii="宋体" w:hAnsi="宋体"/>
          <w:color w:val="auto"/>
          <w:sz w:val="24"/>
        </w:rPr>
        <w:t xml:space="preserve">3.除另有说明外，本招标文件要求加盖电子公章之处，加盖牵头单位的电子公章即可。</w:t>
      </w:r>
      <w:r/>
    </w:p>
    <w:p>
      <w:pPr>
        <w:pStyle w:val="1027"/>
        <w:rPr>
          <w:rFonts w:hint="eastAsia"/>
          <w:color w:val="auto"/>
          <w:sz w:val="24"/>
        </w:rPr>
      </w:pPr>
      <w:r>
        <w:rPr>
          <w:rFonts w:hint="eastAsia"/>
          <w:color w:val="auto"/>
          <w:sz w:val="24"/>
        </w:rPr>
      </w:r>
      <w:r/>
    </w:p>
    <w:p>
      <w:pPr>
        <w:rPr>
          <w:color w:val="auto"/>
        </w:rPr>
      </w:pPr>
      <w:r>
        <w:rPr>
          <w:color w:val="auto"/>
        </w:rPr>
      </w:r>
      <w:r/>
    </w:p>
    <w:p>
      <w:pPr>
        <w:ind w:firstLine="645"/>
        <w:spacing w:line="560" w:lineRule="exact"/>
        <w:rPr>
          <w:rFonts w:ascii="方正小标宋简体" w:hAnsi="方正小标宋简体" w:eastAsia="方正小标宋简体" w:cs="方正小标宋简体"/>
          <w:color w:val="auto"/>
          <w:sz w:val="32"/>
          <w:szCs w:val="32"/>
        </w:rPr>
      </w:pPr>
      <w:r>
        <w:rPr>
          <w:rFonts w:hint="eastAsia" w:ascii="宋体" w:hAnsi="宋体"/>
          <w:color w:val="auto"/>
          <w:sz w:val="24"/>
        </w:rPr>
        <w:br w:type="page" w:clear="all"/>
      </w:r>
      <w:bookmarkEnd w:id="203"/>
      <w:r/>
      <w:r/>
    </w:p>
    <w:p>
      <w:pPr>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分包号：</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t xml:space="preserve">签  字(签章)：                                 公  章：                      </w:t>
      </w:r>
      <w:r/>
    </w:p>
    <w:p>
      <w:pPr>
        <w:rPr>
          <w:rFonts w:hint="eastAsia" w:ascii="宋体" w:hAnsi="宋体"/>
          <w:color w:val="auto"/>
          <w:sz w:val="24"/>
          <w:szCs w:val="24"/>
        </w:rPr>
      </w:pPr>
      <w:r>
        <w:rPr>
          <w:rFonts w:hint="eastAsia" w:ascii="宋体" w:hAnsi="宋体"/>
          <w:color w:val="auto"/>
          <w:sz w:val="24"/>
          <w:szCs w:val="24"/>
        </w:rPr>
        <w:t xml:space="preserve">日  期：    </w:t>
      </w:r>
      <w:r/>
    </w:p>
    <w:p>
      <w:pPr>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3.质疑供应商针对项目的某一分包进行质疑的，《质疑函》中应明确分包号。</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bookmarkEnd w:id="207"/>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Fonts w:hint="eastAsia" w:ascii="宋体" w:hAnsi="宋体"/>
      </w:rPr>
      <w:framePr w:wrap="around" w:vAnchor="text" w:hAnchor="margin" w:xAlign="center" w:y="1"/>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46</w:t>
    </w:r>
    <w:r>
      <w:rPr>
        <w:rFonts w:ascii="宋体" w:hAnsi="宋体"/>
      </w:rPr>
      <w:fldChar w:fldCharType="end"/>
    </w:r>
    <w:r/>
  </w:p>
  <w:p>
    <w:pPr>
      <w:pStyle w:val="100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margin">
                <wp:align>center</wp:align>
              </wp:positionV>
              <wp:extent cx="921385" cy="87522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18900000">
                        <a:off x="0" y="0"/>
                        <a:ext cx="921385" cy="8752205"/>
                      </a:xfrm>
                      <a:prstGeom prst="rect">
                        <a:avLst/>
                      </a:prstGeom>
                      <a:noFill/>
                      <a:ln>
                        <a:noFill/>
                      </a:ln>
                    </wps:spPr>
                    <wps:txbx>
                      <w:txbxContent>
                        <w:p>
                          <w:pPr>
                            <w:jc w:val="center"/>
                            <w:rPr>
                              <w:rFonts w:hint="eastAsia" w:ascii="宋体" w:hAnsi="宋体"/>
                              <w:color w:val="808080"/>
                              <w:sz w:val="16"/>
                              <w:szCs w:val="16"/>
                              <w14:textFill>
                                <w14:solidFill>
                                  <w14:srgbClr w14:val="808080">
                                    <w14:alpha w14:val="94117"/>
                                  </w14:srgbClr>
                                </w14:solidFill>
                              </w14:textFill>
                            </w:rPr>
                          </w:pPr>
                          <w:r>
                            <w:rPr>
                              <w:rFonts w:ascii="宋体" w:hAnsi="宋体"/>
                              <w:color w:val="808080"/>
                              <w:sz w:val="16"/>
                              <w:szCs w:val="16"/>
                              <w14:textFill>
                                <w14:solidFill>
                                  <w14:srgbClr w14:val="808080">
                                    <w14:alpha w14:val="94117"/>
                                  </w14:srgbClr>
                                </w14:solidFill>
                              </w14:textFill>
                            </w:rPr>
                            <w:t xml:space="preserve">15290    2025-09-11</w:t>
                          </w:r>
                          <w:r/>
                        </w:p>
                      </w:txbxContent>
                    </wps:txbx>
                    <wps:bodyPr wrap="square" lIns="0" tIns="0" rIns="0" bIns="0" numCol="1"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margin;mso-position-vertical:center;width:72.5pt;height:689.1pt;mso-wrap-distance-left:9.0pt;mso-wrap-distance-top:0.0pt;mso-wrap-distance-right:9.0pt;mso-wrap-distance-bottom:0.0pt;rotation:315;visibility:visible;" filled="f" stroked="f">
              <v:textbox inset="0,0,0,0">
                <w:txbxContent>
                  <w:p>
                    <w:pPr>
                      <w:jc w:val="center"/>
                      <w:rPr>
                        <w:rFonts w:hint="eastAsia" w:ascii="宋体" w:hAnsi="宋体"/>
                        <w:color w:val="808080"/>
                        <w:sz w:val="16"/>
                        <w:szCs w:val="16"/>
                        <w14:textFill>
                          <w14:solidFill>
                            <w14:srgbClr w14:val="808080">
                              <w14:alpha w14:val="94117"/>
                            </w14:srgbClr>
                          </w14:solidFill>
                        </w14:textFill>
                      </w:rPr>
                    </w:pPr>
                    <w:r>
                      <w:rPr>
                        <w:rFonts w:ascii="宋体" w:hAnsi="宋体"/>
                        <w:color w:val="808080"/>
                        <w:sz w:val="16"/>
                        <w:szCs w:val="16"/>
                        <w14:textFill>
                          <w14:solidFill>
                            <w14:srgbClr w14:val="808080">
                              <w14:alpha w14:val="94117"/>
                            </w14:srgbClr>
                          </w14:solidFill>
                        </w14:textFill>
                      </w:rPr>
                      <w:t xml:space="preserve">15290    2025-09-11</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1"/>
      <w:isLgl w:val="false"/>
      <w:suff w:val="nothing"/>
      <w:lvlText w:val=""/>
      <w:lvlJc w:val="left"/>
      <w:pPr>
        <w:ind w:left="0" w:firstLine="0"/>
      </w:pPr>
      <w:rPr>
        <w:rFonts w:hint="eastAsia"/>
      </w:rPr>
    </w:lvl>
    <w:lvl w:ilvl="6">
      <w:start w:val="1"/>
      <w:numFmt w:val="decimal"/>
      <w:pStyle w:val="973"/>
      <w:isLgl w:val="false"/>
      <w:suff w:val="nothing"/>
      <w:lvlText w:val=""/>
      <w:lvlJc w:val="left"/>
      <w:pPr>
        <w:ind w:left="0" w:firstLine="0"/>
      </w:pPr>
      <w:rPr>
        <w:rFonts w:hint="eastAsia"/>
      </w:rPr>
    </w:lvl>
    <w:lvl w:ilvl="7">
      <w:start w:val="1"/>
      <w:numFmt w:val="decimal"/>
      <w:pStyle w:val="975"/>
      <w:isLgl w:val="false"/>
      <w:suff w:val="nothing"/>
      <w:lvlText w:val=""/>
      <w:lvlJc w:val="left"/>
      <w:pPr>
        <w:ind w:left="0" w:firstLine="0"/>
      </w:pPr>
      <w:rPr>
        <w:rFonts w:hint="eastAsia"/>
      </w:rPr>
    </w:lvl>
    <w:lvl w:ilvl="8">
      <w:start w:val="1"/>
      <w:numFmt w:val="decimal"/>
      <w:pStyle w:val="97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0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6"/>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link w:val="76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6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6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6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6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69"/>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7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71"/>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72"/>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tblPr>
      <w:tblCellMar>
        <w:left w:w="108" w:type="dxa"/>
        <w:top w:w="0" w:type="dxa"/>
        <w:right w:w="108" w:type="dxa"/>
        <w:bottom w:w="0" w:type="dxa"/>
      </w:tblCellMar>
    </w:tblPr>
  </w:style>
  <w:style w:type="paragraph" w:styleId="702" w:customStyle="1">
    <w:name w:val="索引 41"/>
    <w:basedOn w:val="690"/>
    <w:next w:val="690"/>
    <w:uiPriority w:val="0"/>
    <w:semiHidden/>
    <w:qFormat/>
    <w:pPr>
      <w:ind w:left="1260"/>
    </w:pPr>
    <w:rPr>
      <w:rFonts w:ascii="Calibri" w:hAnsi="Calibri" w:eastAsia="Calibri" w:cs="宋体"/>
      <w:sz w:val="20"/>
      <w:lang w:val="zh-CN"/>
    </w:rPr>
  </w:style>
  <w:style w:type="paragraph" w:styleId="703">
    <w:name w:val="toc 7"/>
    <w:basedOn w:val="690"/>
    <w:next w:val="690"/>
    <w:uiPriority w:val="39"/>
    <w:unhideWhenUsed/>
    <w:qFormat/>
    <w:pPr>
      <w:ind w:left="1701"/>
      <w:spacing w:after="57"/>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0"/>
    <w:link w:val="1083"/>
    <w:uiPriority w:val="99"/>
    <w:semiHidden/>
    <w:unhideWhenUsed/>
    <w:qFormat/>
    <w:pPr>
      <w:jc w:val="left"/>
    </w:pPr>
  </w:style>
  <w:style w:type="paragraph" w:styleId="706">
    <w:name w:val="toc 5"/>
    <w:basedOn w:val="690"/>
    <w:next w:val="690"/>
    <w:uiPriority w:val="39"/>
    <w:unhideWhenUsed/>
    <w:qFormat/>
    <w:pPr>
      <w:ind w:left="1134"/>
      <w:spacing w:after="57"/>
    </w:pPr>
  </w:style>
  <w:style w:type="paragraph" w:styleId="707">
    <w:name w:val="toc 3"/>
    <w:basedOn w:val="690"/>
    <w:next w:val="690"/>
    <w:uiPriority w:val="39"/>
    <w:unhideWhenUsed/>
    <w:qFormat/>
    <w:pPr>
      <w:ind w:left="567"/>
      <w:spacing w:after="57"/>
    </w:pPr>
  </w:style>
  <w:style w:type="paragraph" w:styleId="708">
    <w:name w:val="toc 8"/>
    <w:basedOn w:val="690"/>
    <w:next w:val="690"/>
    <w:uiPriority w:val="39"/>
    <w:unhideWhenUsed/>
    <w:qFormat/>
    <w:pPr>
      <w:ind w:left="1984"/>
      <w:spacing w:after="57"/>
    </w:pPr>
  </w:style>
  <w:style w:type="paragraph" w:styleId="709">
    <w:name w:val="endnote text"/>
    <w:basedOn w:val="690"/>
    <w:link w:val="784"/>
    <w:uiPriority w:val="99"/>
    <w:semiHidden/>
    <w:unhideWhenUsed/>
    <w:qFormat/>
    <w:rPr>
      <w:sz w:val="20"/>
    </w:rPr>
  </w:style>
  <w:style w:type="paragraph" w:styleId="710">
    <w:name w:val="Footer"/>
    <w:basedOn w:val="690"/>
    <w:link w:val="782"/>
    <w:uiPriority w:val="99"/>
    <w:unhideWhenUsed/>
    <w:qFormat/>
    <w:pPr>
      <w:tabs>
        <w:tab w:val="center" w:pos="7143" w:leader="none"/>
        <w:tab w:val="right" w:pos="14287" w:leader="none"/>
      </w:tabs>
    </w:pPr>
  </w:style>
  <w:style w:type="paragraph" w:styleId="711">
    <w:name w:val="Header"/>
    <w:basedOn w:val="690"/>
    <w:link w:val="781"/>
    <w:uiPriority w:val="99"/>
    <w:unhideWhenUsed/>
    <w:qFormat/>
    <w:pPr>
      <w:tabs>
        <w:tab w:val="center" w:pos="7143" w:leader="none"/>
        <w:tab w:val="right" w:pos="14287" w:leader="none"/>
      </w:tabs>
    </w:pPr>
  </w:style>
  <w:style w:type="paragraph" w:styleId="712">
    <w:name w:val="toc 1"/>
    <w:basedOn w:val="690"/>
    <w:next w:val="690"/>
    <w:uiPriority w:val="39"/>
    <w:unhideWhenUsed/>
    <w:qFormat/>
    <w:pPr>
      <w:spacing w:after="57"/>
    </w:pPr>
  </w:style>
  <w:style w:type="paragraph" w:styleId="713">
    <w:name w:val="toc 4"/>
    <w:basedOn w:val="690"/>
    <w:next w:val="690"/>
    <w:uiPriority w:val="39"/>
    <w:unhideWhenUsed/>
    <w:qFormat/>
    <w:pPr>
      <w:ind w:left="850"/>
      <w:spacing w:after="57"/>
    </w:pPr>
  </w:style>
  <w:style w:type="paragraph" w:styleId="714">
    <w:name w:val="Subtitle"/>
    <w:basedOn w:val="690"/>
    <w:next w:val="690"/>
    <w:link w:val="776"/>
    <w:uiPriority w:val="11"/>
    <w:qFormat/>
    <w:pPr>
      <w:spacing w:before="200" w:after="200"/>
    </w:pPr>
    <w:rPr>
      <w:sz w:val="24"/>
      <w:szCs w:val="24"/>
    </w:rPr>
  </w:style>
  <w:style w:type="paragraph" w:styleId="715">
    <w:name w:val="footnote text"/>
    <w:basedOn w:val="690"/>
    <w:link w:val="783"/>
    <w:uiPriority w:val="99"/>
    <w:semiHidden/>
    <w:unhideWhenUsed/>
    <w:qFormat/>
    <w:pPr>
      <w:spacing w:after="40"/>
    </w:pPr>
    <w:rPr>
      <w:sz w:val="18"/>
    </w:rPr>
  </w:style>
  <w:style w:type="paragraph" w:styleId="716">
    <w:name w:val="toc 6"/>
    <w:basedOn w:val="690"/>
    <w:next w:val="690"/>
    <w:uiPriority w:val="39"/>
    <w:unhideWhenUsed/>
    <w:qFormat/>
    <w:pPr>
      <w:ind w:left="1417"/>
      <w:spacing w:after="57"/>
    </w:pPr>
  </w:style>
  <w:style w:type="paragraph" w:styleId="717">
    <w:name w:val="table of figures"/>
    <w:basedOn w:val="690"/>
    <w:next w:val="690"/>
    <w:uiPriority w:val="99"/>
    <w:unhideWhenUsed/>
    <w:qFormat/>
  </w:style>
  <w:style w:type="paragraph" w:styleId="718">
    <w:name w:val="toc 2"/>
    <w:basedOn w:val="690"/>
    <w:next w:val="690"/>
    <w:uiPriority w:val="39"/>
    <w:unhideWhenUsed/>
    <w:qFormat/>
    <w:pPr>
      <w:ind w:left="283"/>
      <w:spacing w:after="57"/>
    </w:pPr>
  </w:style>
  <w:style w:type="paragraph" w:styleId="719">
    <w:name w:val="toc 9"/>
    <w:basedOn w:val="690"/>
    <w:next w:val="690"/>
    <w:uiPriority w:val="39"/>
    <w:unhideWhenUsed/>
    <w:qFormat/>
    <w:pPr>
      <w:ind w:left="2268"/>
      <w:spacing w:after="57"/>
    </w:pPr>
  </w:style>
  <w:style w:type="paragraph" w:styleId="720">
    <w:name w:val="Title"/>
    <w:basedOn w:val="690"/>
    <w:next w:val="690"/>
    <w:link w:val="775"/>
    <w:uiPriority w:val="10"/>
    <w:qFormat/>
    <w:pPr>
      <w:contextualSpacing/>
      <w:spacing w:before="300" w:after="200"/>
    </w:pPr>
    <w:rPr>
      <w:sz w:val="48"/>
      <w:szCs w:val="48"/>
    </w:rPr>
  </w:style>
  <w:style w:type="paragraph" w:styleId="721">
    <w:name w:val="annotation subject"/>
    <w:basedOn w:val="705"/>
    <w:next w:val="705"/>
    <w:link w:val="1084"/>
    <w:uiPriority w:val="99"/>
    <w:semiHidden/>
    <w:unhideWhenUsed/>
    <w:qFormat/>
    <w:rPr>
      <w:b/>
      <w:bCs/>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700"/>
    <w:uiPriority w:val="99"/>
    <w:semiHidden/>
    <w:unhideWhenUsed/>
    <w:qFormat/>
    <w:rPr>
      <w:sz w:val="21"/>
      <w:szCs w:val="21"/>
    </w:rPr>
  </w:style>
  <w:style w:type="character" w:styleId="726">
    <w:name w:val="footnote reference"/>
    <w:uiPriority w:val="99"/>
    <w:unhideWhenUsed/>
    <w:qFormat/>
    <w:rPr>
      <w:vertAlign w:val="superscript"/>
    </w:rPr>
  </w:style>
  <w:style w:type="character" w:styleId="727" w:customStyle="1">
    <w:name w:val="Heading 1 Char"/>
    <w:basedOn w:val="700"/>
    <w:uiPriority w:val="9"/>
    <w:rPr>
      <w:rFonts w:ascii="Arial" w:hAnsi="Arial" w:eastAsia="Arial" w:cs="Arial"/>
      <w:sz w:val="40"/>
      <w:szCs w:val="40"/>
    </w:rPr>
  </w:style>
  <w:style w:type="character" w:styleId="728" w:customStyle="1">
    <w:name w:val="Heading 2 Char"/>
    <w:basedOn w:val="700"/>
    <w:uiPriority w:val="9"/>
    <w:qFormat/>
    <w:rPr>
      <w:rFonts w:ascii="Arial" w:hAnsi="Arial" w:eastAsia="Arial" w:cs="Arial"/>
      <w:sz w:val="34"/>
    </w:rPr>
  </w:style>
  <w:style w:type="character" w:styleId="729" w:customStyle="1">
    <w:name w:val="Heading 3 Char"/>
    <w:basedOn w:val="700"/>
    <w:uiPriority w:val="9"/>
    <w:qFormat/>
    <w:rPr>
      <w:rFonts w:ascii="Arial" w:hAnsi="Arial" w:eastAsia="Arial" w:cs="Arial"/>
      <w:sz w:val="30"/>
      <w:szCs w:val="30"/>
    </w:rPr>
  </w:style>
  <w:style w:type="character" w:styleId="730" w:customStyle="1">
    <w:name w:val="Heading 4 Char"/>
    <w:basedOn w:val="700"/>
    <w:uiPriority w:val="9"/>
    <w:rPr>
      <w:rFonts w:ascii="Arial" w:hAnsi="Arial" w:eastAsia="Arial" w:cs="Arial"/>
      <w:b/>
      <w:bCs/>
      <w:sz w:val="26"/>
      <w:szCs w:val="26"/>
    </w:rPr>
  </w:style>
  <w:style w:type="character" w:styleId="731" w:customStyle="1">
    <w:name w:val="Heading 5 Char"/>
    <w:basedOn w:val="700"/>
    <w:uiPriority w:val="9"/>
    <w:rPr>
      <w:rFonts w:ascii="Arial" w:hAnsi="Arial" w:eastAsia="Arial" w:cs="Arial"/>
      <w:b/>
      <w:bCs/>
      <w:sz w:val="24"/>
      <w:szCs w:val="24"/>
    </w:rPr>
  </w:style>
  <w:style w:type="character" w:styleId="732" w:customStyle="1">
    <w:name w:val="Heading 6 Char"/>
    <w:basedOn w:val="700"/>
    <w:uiPriority w:val="9"/>
    <w:qFormat/>
    <w:rPr>
      <w:rFonts w:ascii="Arial" w:hAnsi="Arial" w:eastAsia="Arial" w:cs="Arial"/>
      <w:b/>
      <w:bCs/>
      <w:sz w:val="22"/>
      <w:szCs w:val="22"/>
    </w:rPr>
  </w:style>
  <w:style w:type="character" w:styleId="733" w:customStyle="1">
    <w:name w:val="Heading 7 Char"/>
    <w:basedOn w:val="700"/>
    <w:uiPriority w:val="9"/>
    <w:qFormat/>
    <w:rPr>
      <w:rFonts w:ascii="Arial" w:hAnsi="Arial" w:eastAsia="Arial" w:cs="Arial"/>
      <w:b/>
      <w:bCs/>
      <w:i/>
      <w:iCs/>
      <w:sz w:val="22"/>
      <w:szCs w:val="22"/>
    </w:rPr>
  </w:style>
  <w:style w:type="character" w:styleId="734" w:customStyle="1">
    <w:name w:val="Heading 8 Char"/>
    <w:basedOn w:val="700"/>
    <w:uiPriority w:val="9"/>
    <w:qFormat/>
    <w:rPr>
      <w:rFonts w:ascii="Arial" w:hAnsi="Arial" w:eastAsia="Arial" w:cs="Arial"/>
      <w:i/>
      <w:iCs/>
      <w:sz w:val="22"/>
      <w:szCs w:val="22"/>
    </w:rPr>
  </w:style>
  <w:style w:type="character" w:styleId="735" w:customStyle="1">
    <w:name w:val="Heading 9 Char"/>
    <w:basedOn w:val="700"/>
    <w:uiPriority w:val="9"/>
    <w:qFormat/>
    <w:rPr>
      <w:rFonts w:ascii="Arial" w:hAnsi="Arial" w:eastAsia="Arial" w:cs="Arial"/>
      <w:i/>
      <w:iCs/>
      <w:sz w:val="21"/>
      <w:szCs w:val="21"/>
    </w:rPr>
  </w:style>
  <w:style w:type="character" w:styleId="736" w:customStyle="1">
    <w:name w:val="Title Char"/>
    <w:basedOn w:val="700"/>
    <w:uiPriority w:val="10"/>
    <w:rPr>
      <w:sz w:val="48"/>
      <w:szCs w:val="48"/>
    </w:rPr>
  </w:style>
  <w:style w:type="character" w:styleId="737" w:customStyle="1">
    <w:name w:val="Subtitle Char"/>
    <w:basedOn w:val="700"/>
    <w:uiPriority w:val="11"/>
    <w:qFormat/>
    <w:rPr>
      <w:sz w:val="24"/>
      <w:szCs w:val="24"/>
    </w:rPr>
  </w:style>
  <w:style w:type="character" w:styleId="738" w:customStyle="1">
    <w:name w:val="Quote Char"/>
    <w:uiPriority w:val="29"/>
    <w:rPr>
      <w:i/>
    </w:rPr>
  </w:style>
  <w:style w:type="character" w:styleId="739" w:customStyle="1">
    <w:name w:val="Intense Quote Char"/>
    <w:uiPriority w:val="30"/>
    <w:qFormat/>
    <w:rPr>
      <w:i/>
    </w:rPr>
  </w:style>
  <w:style w:type="character" w:styleId="740" w:customStyle="1">
    <w:name w:val="Header Char"/>
    <w:basedOn w:val="700"/>
    <w:uiPriority w:val="99"/>
    <w:qFormat/>
  </w:style>
  <w:style w:type="character" w:styleId="741" w:customStyle="1">
    <w:name w:val="Caption Char"/>
    <w:uiPriority w:val="99"/>
    <w:qFormat/>
  </w:style>
  <w:style w:type="table" w:styleId="742" w:customStyle="1">
    <w:name w:val="无格式表格 11"/>
    <w:basedOn w:val="70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70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70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网格表 2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网格表 3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basedOn w:val="70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网格表 5 深色1"/>
    <w:basedOn w:val="70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网格表 6 彩色1"/>
    <w:basedOn w:val="70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网格表 7 彩色1"/>
    <w:basedOn w:val="70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清单表 1 浅色1"/>
    <w:basedOn w:val="7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清单表 2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清单表 31"/>
    <w:basedOn w:val="70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清单表 4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5 深色1"/>
    <w:basedOn w:val="70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清单表 6 彩色1"/>
    <w:basedOn w:val="701"/>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清单表 7 彩色1"/>
    <w:basedOn w:val="70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1" w:customStyle="1">
    <w:name w:val="Footnote Text Char"/>
    <w:uiPriority w:val="99"/>
    <w:rPr>
      <w:sz w:val="18"/>
    </w:rPr>
  </w:style>
  <w:style w:type="character" w:styleId="762" w:customStyle="1">
    <w:name w:val="Endnote Text Char"/>
    <w:uiPriority w:val="99"/>
    <w:qFormat/>
    <w:rPr>
      <w:sz w:val="20"/>
    </w:rPr>
  </w:style>
  <w:style w:type="paragraph" w:styleId="763" w:customStyle="1">
    <w:name w:val="TOC 标题1"/>
    <w:uiPriority w:val="39"/>
    <w:unhideWhenUsed/>
    <w:qFormat/>
    <w:rPr>
      <w:rFonts w:ascii="Times New Roman" w:hAnsi="Times New Roman" w:eastAsia="宋体" w:cs="Times New Roman"/>
      <w:lang w:val="en-US" w:eastAsia="zh-CN" w:bidi="ar-SA"/>
    </w:rPr>
  </w:style>
  <w:style w:type="character" w:styleId="764" w:customStyle="1">
    <w:name w:val="标题 1 字符1"/>
    <w:link w:val="691"/>
    <w:uiPriority w:val="9"/>
    <w:qFormat/>
    <w:rPr>
      <w:rFonts w:ascii="Arial" w:hAnsi="Arial" w:eastAsia="Arial" w:cs="Arial"/>
      <w:sz w:val="40"/>
      <w:szCs w:val="40"/>
    </w:rPr>
  </w:style>
  <w:style w:type="character" w:styleId="765" w:customStyle="1">
    <w:name w:val="标题 2 字符1"/>
    <w:link w:val="692"/>
    <w:uiPriority w:val="9"/>
    <w:qFormat/>
    <w:rPr>
      <w:rFonts w:ascii="Arial" w:hAnsi="Arial" w:eastAsia="Arial" w:cs="Arial"/>
      <w:sz w:val="34"/>
    </w:rPr>
  </w:style>
  <w:style w:type="character" w:styleId="766" w:customStyle="1">
    <w:name w:val="标题 3 字符1"/>
    <w:link w:val="693"/>
    <w:uiPriority w:val="9"/>
    <w:qFormat/>
    <w:rPr>
      <w:rFonts w:ascii="Arial" w:hAnsi="Arial" w:eastAsia="Arial" w:cs="Arial"/>
      <w:sz w:val="30"/>
      <w:szCs w:val="30"/>
    </w:rPr>
  </w:style>
  <w:style w:type="character" w:styleId="767" w:customStyle="1">
    <w:name w:val="标题 4 字符1"/>
    <w:link w:val="694"/>
    <w:uiPriority w:val="9"/>
    <w:qFormat/>
    <w:rPr>
      <w:rFonts w:ascii="Arial" w:hAnsi="Arial" w:eastAsia="Arial" w:cs="Arial"/>
      <w:b/>
      <w:bCs/>
      <w:sz w:val="26"/>
      <w:szCs w:val="26"/>
    </w:rPr>
  </w:style>
  <w:style w:type="character" w:styleId="768" w:customStyle="1">
    <w:name w:val="标题 5 字符1"/>
    <w:link w:val="695"/>
    <w:uiPriority w:val="9"/>
    <w:qFormat/>
    <w:rPr>
      <w:rFonts w:ascii="Arial" w:hAnsi="Arial" w:eastAsia="Arial" w:cs="Arial"/>
      <w:b/>
      <w:bCs/>
      <w:sz w:val="24"/>
      <w:szCs w:val="24"/>
    </w:rPr>
  </w:style>
  <w:style w:type="character" w:styleId="769" w:customStyle="1">
    <w:name w:val="标题 6 字符1"/>
    <w:link w:val="696"/>
    <w:uiPriority w:val="9"/>
    <w:qFormat/>
    <w:rPr>
      <w:rFonts w:ascii="Arial" w:hAnsi="Arial" w:eastAsia="Arial" w:cs="Arial"/>
      <w:b/>
      <w:bCs/>
      <w:sz w:val="22"/>
      <w:szCs w:val="22"/>
    </w:rPr>
  </w:style>
  <w:style w:type="character" w:styleId="770" w:customStyle="1">
    <w:name w:val="标题 7 字符1"/>
    <w:link w:val="697"/>
    <w:uiPriority w:val="9"/>
    <w:qFormat/>
    <w:rPr>
      <w:rFonts w:ascii="Arial" w:hAnsi="Arial" w:eastAsia="Arial" w:cs="Arial"/>
      <w:b/>
      <w:bCs/>
      <w:i/>
      <w:iCs/>
      <w:sz w:val="22"/>
      <w:szCs w:val="22"/>
    </w:rPr>
  </w:style>
  <w:style w:type="character" w:styleId="771" w:customStyle="1">
    <w:name w:val="标题 8 字符1"/>
    <w:link w:val="698"/>
    <w:uiPriority w:val="9"/>
    <w:qFormat/>
    <w:rPr>
      <w:rFonts w:ascii="Arial" w:hAnsi="Arial" w:eastAsia="Arial" w:cs="Arial"/>
      <w:i/>
      <w:iCs/>
      <w:sz w:val="22"/>
      <w:szCs w:val="22"/>
    </w:rPr>
  </w:style>
  <w:style w:type="character" w:styleId="772" w:customStyle="1">
    <w:name w:val="标题 9 字符1"/>
    <w:link w:val="699"/>
    <w:uiPriority w:val="9"/>
    <w:qFormat/>
    <w:rPr>
      <w:rFonts w:ascii="Arial" w:hAnsi="Arial" w:eastAsia="Arial" w:cs="Arial"/>
      <w:i/>
      <w:iCs/>
      <w:sz w:val="21"/>
      <w:szCs w:val="21"/>
    </w:rPr>
  </w:style>
  <w:style w:type="paragraph" w:styleId="773">
    <w:name w:val="List Paragraph"/>
    <w:basedOn w:val="690"/>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1"/>
    <w:link w:val="720"/>
    <w:uiPriority w:val="10"/>
    <w:qFormat/>
    <w:rPr>
      <w:sz w:val="48"/>
      <w:szCs w:val="48"/>
    </w:rPr>
  </w:style>
  <w:style w:type="character" w:styleId="776" w:customStyle="1">
    <w:name w:val="副标题 字符1"/>
    <w:link w:val="714"/>
    <w:uiPriority w:val="11"/>
    <w:qFormat/>
    <w:rPr>
      <w:sz w:val="24"/>
      <w:szCs w:val="24"/>
    </w:rPr>
  </w:style>
  <w:style w:type="paragraph" w:styleId="777">
    <w:name w:val="Quote"/>
    <w:basedOn w:val="690"/>
    <w:next w:val="690"/>
    <w:link w:val="778"/>
    <w:uiPriority w:val="29"/>
    <w:qFormat/>
    <w:pPr>
      <w:ind w:left="720" w:right="720"/>
    </w:pPr>
    <w:rPr>
      <w:i/>
    </w:rPr>
  </w:style>
  <w:style w:type="character" w:styleId="778" w:customStyle="1">
    <w:name w:val="引用 字符1"/>
    <w:link w:val="777"/>
    <w:uiPriority w:val="29"/>
    <w:qFormat/>
    <w:rPr>
      <w:i/>
    </w:rPr>
  </w:style>
  <w:style w:type="paragraph" w:styleId="779">
    <w:name w:val="Intense Quote"/>
    <w:basedOn w:val="690"/>
    <w:next w:val="690"/>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1"/>
    <w:link w:val="779"/>
    <w:uiPriority w:val="30"/>
    <w:qFormat/>
    <w:rPr>
      <w:i/>
    </w:rPr>
  </w:style>
  <w:style w:type="character" w:styleId="781" w:customStyle="1">
    <w:name w:val="页眉 字符1"/>
    <w:link w:val="711"/>
    <w:uiPriority w:val="99"/>
    <w:qFormat/>
  </w:style>
  <w:style w:type="character" w:styleId="782" w:customStyle="1">
    <w:name w:val="页脚 字符1"/>
    <w:link w:val="710"/>
    <w:uiPriority w:val="99"/>
    <w:qFormat/>
  </w:style>
  <w:style w:type="character" w:styleId="783" w:customStyle="1">
    <w:name w:val="脚注文本 字符1"/>
    <w:link w:val="715"/>
    <w:uiPriority w:val="99"/>
    <w:qFormat/>
    <w:rPr>
      <w:sz w:val="18"/>
    </w:rPr>
  </w:style>
  <w:style w:type="character" w:styleId="784" w:customStyle="1">
    <w:name w:val="尾注文本 字符1"/>
    <w:link w:val="709"/>
    <w:uiPriority w:val="99"/>
    <w:qFormat/>
    <w:rPr>
      <w:sz w:val="20"/>
    </w:rPr>
  </w:style>
  <w:style w:type="paragraph" w:styleId="785" w:customStyle="1">
    <w:name w:val="TOC 标题111"/>
    <w:uiPriority w:val="39"/>
    <w:unhideWhenUsed/>
    <w:qFormat/>
    <w:rPr>
      <w:rFonts w:ascii="Times New Roman" w:hAnsi="Times New Roman" w:eastAsia="宋体" w:cs="Times New Roman"/>
      <w:lang w:val="en-US" w:eastAsia="zh-CN" w:bidi="ar-SA"/>
    </w:rPr>
  </w:style>
  <w:style w:type="paragraph" w:styleId="786" w:customStyle="1">
    <w:name w:val="标题 111"/>
    <w:basedOn w:val="690"/>
    <w:next w:val="690"/>
    <w:link w:val="798"/>
    <w:uiPriority w:val="9"/>
    <w:qFormat/>
    <w:pPr>
      <w:keepLines/>
      <w:keepNext/>
      <w:spacing w:before="480" w:after="200"/>
      <w:outlineLvl w:val="0"/>
    </w:pPr>
    <w:rPr>
      <w:rFonts w:ascii="Arial" w:hAnsi="Arial" w:eastAsia="Arial" w:cs="Arial"/>
      <w:sz w:val="40"/>
      <w:szCs w:val="40"/>
    </w:rPr>
  </w:style>
  <w:style w:type="paragraph" w:styleId="787" w:customStyle="1">
    <w:name w:val="标题 211"/>
    <w:basedOn w:val="690"/>
    <w:next w:val="690"/>
    <w:link w:val="799"/>
    <w:uiPriority w:val="9"/>
    <w:qFormat/>
    <w:pPr>
      <w:keepLines/>
      <w:keepNext/>
      <w:spacing w:before="360" w:after="200"/>
      <w:outlineLvl w:val="1"/>
    </w:pPr>
    <w:rPr>
      <w:rFonts w:ascii="Arial" w:hAnsi="Arial" w:eastAsia="Arial" w:cs="Arial"/>
      <w:sz w:val="34"/>
    </w:rPr>
  </w:style>
  <w:style w:type="paragraph" w:styleId="788" w:customStyle="1">
    <w:name w:val="标题 311"/>
    <w:basedOn w:val="690"/>
    <w:next w:val="690"/>
    <w:link w:val="800"/>
    <w:uiPriority w:val="9"/>
    <w:qFormat/>
    <w:pPr>
      <w:keepLines/>
      <w:keepNext/>
      <w:spacing w:before="320" w:after="200"/>
      <w:outlineLvl w:val="2"/>
    </w:pPr>
    <w:rPr>
      <w:rFonts w:ascii="Arial" w:hAnsi="Arial" w:eastAsia="Arial" w:cs="Arial"/>
      <w:sz w:val="30"/>
      <w:szCs w:val="30"/>
    </w:rPr>
  </w:style>
  <w:style w:type="paragraph" w:styleId="789" w:customStyle="1">
    <w:name w:val="标题 411"/>
    <w:basedOn w:val="690"/>
    <w:next w:val="790"/>
    <w:link w:val="801"/>
    <w:uiPriority w:val="9"/>
    <w:qFormat/>
    <w:pPr>
      <w:keepLines/>
      <w:keepNext/>
      <w:spacing w:before="320" w:after="200"/>
      <w:outlineLvl w:val="3"/>
    </w:pPr>
    <w:rPr>
      <w:rFonts w:ascii="Arial" w:hAnsi="Arial" w:eastAsia="Arial" w:cs="Arial"/>
      <w:b/>
      <w:bCs/>
      <w:sz w:val="26"/>
      <w:szCs w:val="26"/>
    </w:rPr>
  </w:style>
  <w:style w:type="paragraph" w:styleId="790" w:customStyle="1">
    <w:name w:val="正文首缩两字"/>
    <w:basedOn w:val="690"/>
    <w:uiPriority w:val="0"/>
    <w:qFormat/>
    <w:pPr>
      <w:ind w:left="210" w:right="210" w:firstLine="480"/>
      <w:jc w:val="left"/>
      <w:spacing w:line="360" w:lineRule="auto"/>
    </w:pPr>
    <w:rPr>
      <w:rFonts w:ascii="宋体" w:hAnsi="宋体" w:eastAsia="仿宋_GB2312"/>
      <w:sz w:val="24"/>
    </w:rPr>
  </w:style>
  <w:style w:type="paragraph" w:styleId="791" w:customStyle="1">
    <w:name w:val="标题 511"/>
    <w:basedOn w:val="690"/>
    <w:next w:val="690"/>
    <w:link w:val="802"/>
    <w:uiPriority w:val="9"/>
    <w:qFormat/>
    <w:pPr>
      <w:keepLines/>
      <w:keepNext/>
      <w:spacing w:before="320" w:after="200"/>
      <w:outlineLvl w:val="4"/>
    </w:pPr>
    <w:rPr>
      <w:rFonts w:ascii="Arial" w:hAnsi="Arial" w:eastAsia="Arial" w:cs="Arial"/>
      <w:b/>
      <w:bCs/>
      <w:sz w:val="24"/>
      <w:szCs w:val="24"/>
    </w:rPr>
  </w:style>
  <w:style w:type="paragraph" w:styleId="792" w:customStyle="1">
    <w:name w:val="标题 611"/>
    <w:basedOn w:val="690"/>
    <w:next w:val="690"/>
    <w:link w:val="803"/>
    <w:uiPriority w:val="9"/>
    <w:qFormat/>
    <w:pPr>
      <w:keepLines/>
      <w:keepNext/>
      <w:spacing w:before="320" w:after="200"/>
      <w:outlineLvl w:val="5"/>
    </w:pPr>
    <w:rPr>
      <w:rFonts w:ascii="Arial" w:hAnsi="Arial" w:eastAsia="Arial" w:cs="Arial"/>
      <w:b/>
      <w:bCs/>
      <w:sz w:val="22"/>
    </w:rPr>
  </w:style>
  <w:style w:type="paragraph" w:styleId="793" w:customStyle="1">
    <w:name w:val="标题 711"/>
    <w:basedOn w:val="690"/>
    <w:next w:val="690"/>
    <w:link w:val="804"/>
    <w:uiPriority w:val="9"/>
    <w:qFormat/>
    <w:pPr>
      <w:keepLines/>
      <w:keepNext/>
      <w:spacing w:before="320" w:after="200"/>
      <w:outlineLvl w:val="6"/>
    </w:pPr>
    <w:rPr>
      <w:rFonts w:ascii="Arial" w:hAnsi="Arial" w:eastAsia="Arial" w:cs="Arial"/>
      <w:b/>
      <w:bCs/>
      <w:i/>
      <w:iCs/>
      <w:sz w:val="22"/>
    </w:rPr>
  </w:style>
  <w:style w:type="paragraph" w:styleId="794" w:customStyle="1">
    <w:name w:val="标题 811"/>
    <w:basedOn w:val="690"/>
    <w:next w:val="690"/>
    <w:link w:val="805"/>
    <w:uiPriority w:val="9"/>
    <w:qFormat/>
    <w:pPr>
      <w:keepLines/>
      <w:keepNext/>
      <w:spacing w:before="320" w:after="200"/>
      <w:outlineLvl w:val="7"/>
    </w:pPr>
    <w:rPr>
      <w:rFonts w:ascii="Arial" w:hAnsi="Arial" w:eastAsia="Arial" w:cs="Arial"/>
      <w:i/>
      <w:iCs/>
      <w:sz w:val="22"/>
    </w:rPr>
  </w:style>
  <w:style w:type="paragraph" w:styleId="795" w:customStyle="1">
    <w:name w:val="标题 911"/>
    <w:basedOn w:val="690"/>
    <w:next w:val="690"/>
    <w:link w:val="806"/>
    <w:uiPriority w:val="9"/>
    <w:qFormat/>
    <w:pPr>
      <w:keepLines/>
      <w:keepNext/>
      <w:spacing w:before="320" w:after="200"/>
      <w:outlineLvl w:val="8"/>
    </w:pPr>
    <w:rPr>
      <w:rFonts w:ascii="Arial" w:hAnsi="Arial" w:eastAsia="Arial" w:cs="Arial"/>
      <w:i/>
      <w:iCs/>
      <w:szCs w:val="21"/>
    </w:rPr>
  </w:style>
  <w:style w:type="character" w:styleId="796" w:customStyle="1">
    <w:name w:val="默认段落字体11"/>
    <w:uiPriority w:val="1"/>
    <w:unhideWhenUsed/>
    <w:qFormat/>
  </w:style>
  <w:style w:type="table" w:styleId="797" w:customStyle="1">
    <w:name w:val="普通表格12"/>
    <w:uiPriority w:val="99"/>
    <w:unhideWhenUsed/>
    <w:qFormat/>
    <w:tblPr>
      <w:tblCellMar>
        <w:left w:w="0" w:type="dxa"/>
        <w:top w:w="0" w:type="dxa"/>
        <w:right w:w="0" w:type="dxa"/>
        <w:bottom w:w="0" w:type="dxa"/>
      </w:tblCellMar>
    </w:tblPr>
  </w:style>
  <w:style w:type="character" w:styleId="798" w:customStyle="1">
    <w:name w:val="标题 1 字符"/>
    <w:link w:val="786"/>
    <w:uiPriority w:val="9"/>
    <w:qFormat/>
    <w:rPr>
      <w:rFonts w:ascii="Arial" w:hAnsi="Arial" w:eastAsia="Arial" w:cs="Arial"/>
      <w:sz w:val="40"/>
      <w:szCs w:val="40"/>
    </w:rPr>
  </w:style>
  <w:style w:type="character" w:styleId="799" w:customStyle="1">
    <w:name w:val="标题 2 字符"/>
    <w:link w:val="787"/>
    <w:uiPriority w:val="9"/>
    <w:qFormat/>
    <w:rPr>
      <w:rFonts w:ascii="Arial" w:hAnsi="Arial" w:eastAsia="Arial" w:cs="Arial"/>
      <w:sz w:val="34"/>
    </w:rPr>
  </w:style>
  <w:style w:type="character" w:styleId="800" w:customStyle="1">
    <w:name w:val="标题 3 字符"/>
    <w:link w:val="788"/>
    <w:uiPriority w:val="9"/>
    <w:qFormat/>
    <w:rPr>
      <w:rFonts w:ascii="Arial" w:hAnsi="Arial" w:eastAsia="Arial" w:cs="Arial"/>
      <w:sz w:val="30"/>
      <w:szCs w:val="30"/>
    </w:rPr>
  </w:style>
  <w:style w:type="character" w:styleId="801" w:customStyle="1">
    <w:name w:val="标题 4 字符"/>
    <w:link w:val="789"/>
    <w:uiPriority w:val="9"/>
    <w:qFormat/>
    <w:rPr>
      <w:rFonts w:ascii="Arial" w:hAnsi="Arial" w:eastAsia="Arial" w:cs="Arial"/>
      <w:b/>
      <w:bCs/>
      <w:sz w:val="26"/>
      <w:szCs w:val="26"/>
    </w:rPr>
  </w:style>
  <w:style w:type="character" w:styleId="802" w:customStyle="1">
    <w:name w:val="标题 5 字符"/>
    <w:link w:val="791"/>
    <w:uiPriority w:val="9"/>
    <w:qFormat/>
    <w:rPr>
      <w:rFonts w:ascii="Arial" w:hAnsi="Arial" w:eastAsia="Arial" w:cs="Arial"/>
      <w:b/>
      <w:bCs/>
      <w:sz w:val="24"/>
      <w:szCs w:val="24"/>
    </w:rPr>
  </w:style>
  <w:style w:type="character" w:styleId="803" w:customStyle="1">
    <w:name w:val="标题 6 字符"/>
    <w:link w:val="792"/>
    <w:uiPriority w:val="9"/>
    <w:qFormat/>
    <w:rPr>
      <w:rFonts w:ascii="Arial" w:hAnsi="Arial" w:eastAsia="Arial" w:cs="Arial"/>
      <w:b/>
      <w:bCs/>
      <w:sz w:val="22"/>
      <w:szCs w:val="22"/>
    </w:rPr>
  </w:style>
  <w:style w:type="character" w:styleId="804" w:customStyle="1">
    <w:name w:val="标题 7 字符"/>
    <w:link w:val="793"/>
    <w:uiPriority w:val="9"/>
    <w:qFormat/>
    <w:rPr>
      <w:rFonts w:ascii="Arial" w:hAnsi="Arial" w:eastAsia="Arial" w:cs="Arial"/>
      <w:b/>
      <w:bCs/>
      <w:i/>
      <w:iCs/>
      <w:sz w:val="22"/>
      <w:szCs w:val="22"/>
    </w:rPr>
  </w:style>
  <w:style w:type="character" w:styleId="805" w:customStyle="1">
    <w:name w:val="标题 8 字符"/>
    <w:link w:val="794"/>
    <w:uiPriority w:val="9"/>
    <w:qFormat/>
    <w:rPr>
      <w:rFonts w:ascii="Arial" w:hAnsi="Arial" w:eastAsia="Arial" w:cs="Arial"/>
      <w:i/>
      <w:iCs/>
      <w:sz w:val="22"/>
      <w:szCs w:val="22"/>
    </w:rPr>
  </w:style>
  <w:style w:type="character" w:styleId="806" w:customStyle="1">
    <w:name w:val="标题 9 字符"/>
    <w:link w:val="795"/>
    <w:uiPriority w:val="9"/>
    <w:qFormat/>
    <w:rPr>
      <w:rFonts w:ascii="Arial" w:hAnsi="Arial" w:eastAsia="Arial" w:cs="Arial"/>
      <w:i/>
      <w:iCs/>
      <w:sz w:val="21"/>
      <w:szCs w:val="21"/>
    </w:rPr>
  </w:style>
  <w:style w:type="paragraph" w:styleId="807" w:customStyle="1">
    <w:name w:val="目录 711"/>
    <w:basedOn w:val="690"/>
    <w:next w:val="690"/>
    <w:uiPriority w:val="39"/>
    <w:unhideWhenUsed/>
    <w:qFormat/>
    <w:pPr>
      <w:ind w:left="1701"/>
      <w:spacing w:after="57"/>
    </w:pPr>
  </w:style>
  <w:style w:type="paragraph" w:styleId="808" w:customStyle="1">
    <w:name w:val="题注1"/>
    <w:basedOn w:val="690"/>
    <w:next w:val="690"/>
    <w:uiPriority w:val="35"/>
    <w:qFormat/>
    <w:pPr>
      <w:spacing w:line="276" w:lineRule="auto"/>
    </w:pPr>
    <w:rPr>
      <w:b/>
      <w:bCs/>
      <w:color w:val="4f81bd"/>
      <w:sz w:val="18"/>
      <w:szCs w:val="18"/>
    </w:rPr>
  </w:style>
  <w:style w:type="paragraph" w:styleId="809" w:customStyle="1">
    <w:name w:val="批注文字11"/>
    <w:basedOn w:val="690"/>
    <w:link w:val="810"/>
    <w:uiPriority w:val="0"/>
    <w:unhideWhenUsed/>
    <w:qFormat/>
    <w:pPr>
      <w:jc w:val="left"/>
    </w:pPr>
    <w:rPr>
      <w:rFonts w:ascii="Calibri" w:hAnsi="Calibri"/>
      <w:szCs w:val="24"/>
    </w:rPr>
  </w:style>
  <w:style w:type="character" w:styleId="810" w:customStyle="1">
    <w:name w:val="批注文字 字符"/>
    <w:link w:val="809"/>
    <w:uiPriority w:val="0"/>
    <w:qFormat/>
    <w:rPr>
      <w:rFonts w:ascii="Calibri" w:hAnsi="Calibri"/>
      <w:sz w:val="21"/>
      <w:szCs w:val="24"/>
    </w:rPr>
  </w:style>
  <w:style w:type="paragraph" w:styleId="811" w:customStyle="1">
    <w:name w:val="正文文本缩进12"/>
    <w:basedOn w:val="690"/>
    <w:next w:val="812"/>
    <w:uiPriority w:val="0"/>
    <w:unhideWhenUsed/>
    <w:qFormat/>
    <w:pPr>
      <w:ind w:left="420"/>
      <w:spacing w:after="120"/>
    </w:pPr>
  </w:style>
  <w:style w:type="paragraph" w:styleId="812" w:customStyle="1">
    <w:name w:val="寄信人地址11"/>
    <w:basedOn w:val="690"/>
    <w:uiPriority w:val="0"/>
    <w:qFormat/>
    <w:rPr>
      <w:rFonts w:ascii="Arial" w:hAnsi="Arial" w:cs="宋体"/>
    </w:rPr>
  </w:style>
  <w:style w:type="paragraph" w:styleId="813" w:customStyle="1">
    <w:name w:val="目录 511"/>
    <w:basedOn w:val="690"/>
    <w:next w:val="690"/>
    <w:uiPriority w:val="39"/>
    <w:unhideWhenUsed/>
    <w:qFormat/>
    <w:pPr>
      <w:ind w:left="1134"/>
      <w:spacing w:after="57"/>
    </w:pPr>
  </w:style>
  <w:style w:type="paragraph" w:styleId="814" w:customStyle="1">
    <w:name w:val="目录 311"/>
    <w:basedOn w:val="690"/>
    <w:next w:val="690"/>
    <w:uiPriority w:val="39"/>
    <w:unhideWhenUsed/>
    <w:qFormat/>
    <w:pPr>
      <w:ind w:left="567"/>
      <w:spacing w:after="57"/>
    </w:pPr>
  </w:style>
  <w:style w:type="paragraph" w:styleId="815" w:customStyle="1">
    <w:name w:val="目录 811"/>
    <w:basedOn w:val="690"/>
    <w:next w:val="690"/>
    <w:uiPriority w:val="39"/>
    <w:unhideWhenUsed/>
    <w:qFormat/>
    <w:pPr>
      <w:ind w:left="1984"/>
      <w:spacing w:after="57"/>
    </w:pPr>
  </w:style>
  <w:style w:type="paragraph" w:styleId="816" w:customStyle="1">
    <w:name w:val="尾注文本1"/>
    <w:basedOn w:val="690"/>
    <w:link w:val="817"/>
    <w:uiPriority w:val="99"/>
    <w:unhideWhenUsed/>
    <w:qFormat/>
    <w:rPr>
      <w:sz w:val="20"/>
    </w:rPr>
  </w:style>
  <w:style w:type="character" w:styleId="817" w:customStyle="1">
    <w:name w:val="尾注文本 字符"/>
    <w:link w:val="816"/>
    <w:uiPriority w:val="99"/>
    <w:qFormat/>
    <w:rPr>
      <w:sz w:val="20"/>
    </w:rPr>
  </w:style>
  <w:style w:type="paragraph" w:styleId="818" w:customStyle="1">
    <w:name w:val="批注框文本11"/>
    <w:basedOn w:val="690"/>
    <w:link w:val="819"/>
    <w:uiPriority w:val="99"/>
    <w:unhideWhenUsed/>
    <w:qFormat/>
    <w:rPr>
      <w:sz w:val="18"/>
      <w:szCs w:val="18"/>
    </w:rPr>
  </w:style>
  <w:style w:type="character" w:styleId="819" w:customStyle="1">
    <w:name w:val="批注框文本 字符"/>
    <w:link w:val="818"/>
    <w:uiPriority w:val="99"/>
    <w:semiHidden/>
    <w:qFormat/>
    <w:rPr>
      <w:sz w:val="18"/>
      <w:szCs w:val="18"/>
    </w:rPr>
  </w:style>
  <w:style w:type="paragraph" w:styleId="820" w:customStyle="1">
    <w:name w:val="页脚11"/>
    <w:basedOn w:val="690"/>
    <w:link w:val="821"/>
    <w:uiPriority w:val="99"/>
    <w:unhideWhenUsed/>
    <w:qFormat/>
    <w:pPr>
      <w:tabs>
        <w:tab w:val="center" w:pos="7143" w:leader="none"/>
        <w:tab w:val="right" w:pos="14287" w:leader="none"/>
      </w:tabs>
    </w:pPr>
  </w:style>
  <w:style w:type="character" w:styleId="821" w:customStyle="1">
    <w:name w:val="页脚 字符"/>
    <w:link w:val="820"/>
    <w:uiPriority w:val="99"/>
    <w:qFormat/>
  </w:style>
  <w:style w:type="paragraph" w:styleId="822" w:customStyle="1">
    <w:name w:val="页眉11"/>
    <w:basedOn w:val="690"/>
    <w:link w:val="823"/>
    <w:uiPriority w:val="99"/>
    <w:unhideWhenUsed/>
    <w:qFormat/>
    <w:pPr>
      <w:tabs>
        <w:tab w:val="center" w:pos="7143" w:leader="none"/>
        <w:tab w:val="right" w:pos="14287" w:leader="none"/>
      </w:tabs>
    </w:pPr>
  </w:style>
  <w:style w:type="character" w:styleId="823" w:customStyle="1">
    <w:name w:val="页眉 字符"/>
    <w:link w:val="822"/>
    <w:uiPriority w:val="99"/>
    <w:qFormat/>
  </w:style>
  <w:style w:type="paragraph" w:styleId="824" w:customStyle="1">
    <w:name w:val="目录 111"/>
    <w:basedOn w:val="690"/>
    <w:next w:val="690"/>
    <w:uiPriority w:val="39"/>
    <w:unhideWhenUsed/>
    <w:qFormat/>
    <w:pPr>
      <w:spacing w:after="57"/>
    </w:pPr>
  </w:style>
  <w:style w:type="paragraph" w:styleId="825" w:customStyle="1">
    <w:name w:val="目录 411"/>
    <w:basedOn w:val="690"/>
    <w:next w:val="690"/>
    <w:uiPriority w:val="39"/>
    <w:unhideWhenUsed/>
    <w:qFormat/>
    <w:pPr>
      <w:ind w:left="850"/>
      <w:spacing w:after="57"/>
    </w:pPr>
  </w:style>
  <w:style w:type="paragraph" w:styleId="826" w:customStyle="1">
    <w:name w:val="副标题1"/>
    <w:basedOn w:val="690"/>
    <w:next w:val="690"/>
    <w:link w:val="827"/>
    <w:uiPriority w:val="11"/>
    <w:qFormat/>
    <w:pPr>
      <w:spacing w:before="200" w:after="200"/>
    </w:pPr>
    <w:rPr>
      <w:sz w:val="24"/>
      <w:szCs w:val="24"/>
    </w:rPr>
  </w:style>
  <w:style w:type="character" w:styleId="827" w:customStyle="1">
    <w:name w:val="副标题 字符"/>
    <w:link w:val="826"/>
    <w:uiPriority w:val="11"/>
    <w:qFormat/>
    <w:rPr>
      <w:sz w:val="24"/>
      <w:szCs w:val="24"/>
    </w:rPr>
  </w:style>
  <w:style w:type="paragraph" w:styleId="828" w:customStyle="1">
    <w:name w:val="脚注文本1"/>
    <w:basedOn w:val="690"/>
    <w:link w:val="829"/>
    <w:uiPriority w:val="99"/>
    <w:unhideWhenUsed/>
    <w:qFormat/>
    <w:pPr>
      <w:spacing w:after="40"/>
    </w:pPr>
    <w:rPr>
      <w:sz w:val="18"/>
    </w:rPr>
  </w:style>
  <w:style w:type="character" w:styleId="829" w:customStyle="1">
    <w:name w:val="脚注文本 字符"/>
    <w:link w:val="828"/>
    <w:uiPriority w:val="99"/>
    <w:qFormat/>
    <w:rPr>
      <w:sz w:val="18"/>
    </w:rPr>
  </w:style>
  <w:style w:type="paragraph" w:styleId="830" w:customStyle="1">
    <w:name w:val="目录 611"/>
    <w:basedOn w:val="690"/>
    <w:next w:val="690"/>
    <w:uiPriority w:val="39"/>
    <w:unhideWhenUsed/>
    <w:qFormat/>
    <w:pPr>
      <w:ind w:left="1417"/>
      <w:spacing w:after="57"/>
    </w:pPr>
  </w:style>
  <w:style w:type="paragraph" w:styleId="831" w:customStyle="1">
    <w:name w:val="图表目录11"/>
    <w:basedOn w:val="690"/>
    <w:next w:val="690"/>
    <w:uiPriority w:val="99"/>
    <w:unhideWhenUsed/>
    <w:qFormat/>
  </w:style>
  <w:style w:type="paragraph" w:styleId="832" w:customStyle="1">
    <w:name w:val="目录 211"/>
    <w:basedOn w:val="690"/>
    <w:next w:val="690"/>
    <w:uiPriority w:val="39"/>
    <w:unhideWhenUsed/>
    <w:qFormat/>
    <w:pPr>
      <w:ind w:left="283"/>
      <w:spacing w:after="57"/>
    </w:pPr>
  </w:style>
  <w:style w:type="paragraph" w:styleId="833" w:customStyle="1">
    <w:name w:val="目录 911"/>
    <w:basedOn w:val="690"/>
    <w:next w:val="690"/>
    <w:uiPriority w:val="39"/>
    <w:unhideWhenUsed/>
    <w:qFormat/>
    <w:pPr>
      <w:ind w:left="2268"/>
      <w:spacing w:after="57"/>
    </w:pPr>
  </w:style>
  <w:style w:type="paragraph" w:styleId="834" w:customStyle="1">
    <w:name w:val="标题11"/>
    <w:basedOn w:val="690"/>
    <w:next w:val="690"/>
    <w:link w:val="835"/>
    <w:uiPriority w:val="10"/>
    <w:qFormat/>
    <w:pPr>
      <w:contextualSpacing/>
      <w:spacing w:before="300" w:after="200"/>
    </w:pPr>
    <w:rPr>
      <w:sz w:val="48"/>
      <w:szCs w:val="48"/>
    </w:rPr>
  </w:style>
  <w:style w:type="character" w:styleId="835" w:customStyle="1">
    <w:name w:val="标题 字符"/>
    <w:link w:val="834"/>
    <w:uiPriority w:val="10"/>
    <w:qFormat/>
    <w:rPr>
      <w:sz w:val="48"/>
      <w:szCs w:val="48"/>
    </w:rPr>
  </w:style>
  <w:style w:type="paragraph" w:styleId="836" w:customStyle="1">
    <w:name w:val="批注主题11"/>
    <w:basedOn w:val="809"/>
    <w:next w:val="809"/>
    <w:link w:val="837"/>
    <w:uiPriority w:val="99"/>
    <w:unhideWhenUsed/>
    <w:qFormat/>
    <w:rPr>
      <w:rFonts w:ascii="Times New Roman" w:hAnsi="Times New Roman"/>
      <w:b/>
      <w:bCs/>
      <w:szCs w:val="22"/>
    </w:rPr>
  </w:style>
  <w:style w:type="character" w:styleId="837" w:customStyle="1">
    <w:name w:val="批注主题 字符"/>
    <w:link w:val="836"/>
    <w:uiPriority w:val="99"/>
    <w:semiHidden/>
    <w:qFormat/>
    <w:rPr>
      <w:rFonts w:ascii="Calibri" w:hAnsi="Calibri"/>
      <w:b/>
      <w:bCs/>
      <w:sz w:val="21"/>
      <w:szCs w:val="22"/>
    </w:rPr>
  </w:style>
  <w:style w:type="paragraph" w:styleId="838" w:customStyle="1">
    <w:name w:val="正文首行缩进 211"/>
    <w:basedOn w:val="811"/>
    <w:next w:val="690"/>
    <w:uiPriority w:val="0"/>
    <w:qFormat/>
    <w:pPr>
      <w:ind w:left="0" w:firstLine="420"/>
      <w:spacing w:after="0" w:line="360" w:lineRule="auto"/>
    </w:pPr>
    <w:rPr>
      <w:rFonts w:ascii="宋体" w:hAnsi="宋体"/>
      <w:szCs w:val="20"/>
    </w:rPr>
  </w:style>
  <w:style w:type="table" w:styleId="839" w:customStyle="1">
    <w:name w:val="网格型12"/>
    <w:uiPriority w:val="59"/>
    <w:qFormat/>
    <w:tblPr>
      <w:tblCellMar>
        <w:left w:w="0" w:type="dxa"/>
        <w:top w:w="0" w:type="dxa"/>
        <w:right w:w="0" w:type="dxa"/>
        <w:bottom w:w="0" w:type="dxa"/>
      </w:tblCellMar>
    </w:tblPr>
  </w:style>
  <w:style w:type="character" w:styleId="840" w:customStyle="1">
    <w:name w:val="尾注引用1"/>
    <w:uiPriority w:val="99"/>
    <w:unhideWhenUsed/>
    <w:qFormat/>
    <w:rPr>
      <w:vertAlign w:val="superscript"/>
    </w:rPr>
  </w:style>
  <w:style w:type="character" w:styleId="841" w:customStyle="1">
    <w:name w:val="超链接11"/>
    <w:uiPriority w:val="99"/>
    <w:unhideWhenUsed/>
    <w:qFormat/>
    <w:rPr>
      <w:color w:val="0000ff"/>
      <w:u w:val="single"/>
    </w:rPr>
  </w:style>
  <w:style w:type="character" w:styleId="842" w:customStyle="1">
    <w:name w:val="批注引用11"/>
    <w:uiPriority w:val="99"/>
    <w:unhideWhenUsed/>
    <w:qFormat/>
    <w:rPr>
      <w:sz w:val="21"/>
      <w:szCs w:val="21"/>
    </w:rPr>
  </w:style>
  <w:style w:type="character" w:styleId="843" w:customStyle="1">
    <w:name w:val="脚注引用1"/>
    <w:uiPriority w:val="99"/>
    <w:unhideWhenUsed/>
    <w:qFormat/>
    <w:rPr>
      <w:vertAlign w:val="superscript"/>
    </w:rPr>
  </w:style>
  <w:style w:type="paragraph" w:styleId="844" w:customStyle="1">
    <w:name w:val="纯文本1"/>
    <w:basedOn w:val="690"/>
    <w:uiPriority w:val="0"/>
    <w:qFormat/>
    <w:rPr>
      <w:rFonts w:ascii="宋体" w:hAnsi="Courier New" w:cs="Courier New"/>
      <w:szCs w:val="21"/>
    </w:rPr>
  </w:style>
  <w:style w:type="paragraph" w:styleId="845" w:customStyle="1">
    <w:name w:val="列表段落1"/>
    <w:basedOn w:val="690"/>
    <w:uiPriority w:val="34"/>
    <w:qFormat/>
    <w:pPr>
      <w:contextualSpacing/>
      <w:ind w:left="720"/>
    </w:pPr>
  </w:style>
  <w:style w:type="paragraph" w:styleId="846" w:customStyle="1">
    <w:name w:val="无间隔1"/>
    <w:uiPriority w:val="1"/>
    <w:qFormat/>
    <w:rPr>
      <w:rFonts w:ascii="Times New Roman" w:hAnsi="Times New Roman" w:eastAsia="宋体" w:cs="Times New Roman"/>
      <w:lang w:val="en-US" w:eastAsia="zh-CN" w:bidi="ar-SA"/>
    </w:rPr>
  </w:style>
  <w:style w:type="paragraph" w:styleId="847" w:customStyle="1">
    <w:name w:val="引用1"/>
    <w:basedOn w:val="690"/>
    <w:next w:val="690"/>
    <w:link w:val="848"/>
    <w:uiPriority w:val="29"/>
    <w:qFormat/>
    <w:pPr>
      <w:ind w:left="720" w:right="720"/>
    </w:pPr>
    <w:rPr>
      <w:i/>
    </w:rPr>
  </w:style>
  <w:style w:type="character" w:styleId="848" w:customStyle="1">
    <w:name w:val="引用 字符"/>
    <w:link w:val="847"/>
    <w:uiPriority w:val="29"/>
    <w:qFormat/>
    <w:rPr>
      <w:i/>
    </w:rPr>
  </w:style>
  <w:style w:type="paragraph" w:styleId="849" w:customStyle="1">
    <w:name w:val="明显引用1"/>
    <w:basedOn w:val="690"/>
    <w:next w:val="690"/>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Footer Char"/>
    <w:uiPriority w:val="99"/>
    <w:qFormat/>
  </w:style>
  <w:style w:type="table" w:styleId="852" w:customStyle="1">
    <w:name w:val="Table Grid Light"/>
    <w:uiPriority w:val="59"/>
    <w:qFormat/>
    <w:tblPr>
      <w:tblCellMar>
        <w:left w:w="0" w:type="dxa"/>
        <w:top w:w="0" w:type="dxa"/>
        <w:right w:w="0" w:type="dxa"/>
        <w:bottom w:w="0" w:type="dxa"/>
      </w:tblCellMar>
    </w:tblPr>
  </w:style>
  <w:style w:type="table" w:styleId="853" w:customStyle="1">
    <w:name w:val="Grid Table 1 Light - Accent 1"/>
    <w:uiPriority w:val="99"/>
    <w:qFormat/>
    <w:tblPr>
      <w:tblCellMar>
        <w:left w:w="0" w:type="dxa"/>
        <w:top w:w="0" w:type="dxa"/>
        <w:right w:w="0" w:type="dxa"/>
        <w:bottom w:w="0" w:type="dxa"/>
      </w:tblCellMar>
    </w:tblPr>
  </w:style>
  <w:style w:type="table" w:styleId="854" w:customStyle="1">
    <w:name w:val="Grid Table 1 Light - Accent 2"/>
    <w:uiPriority w:val="99"/>
    <w:qFormat/>
    <w:tblPr>
      <w:tblCellMar>
        <w:left w:w="0" w:type="dxa"/>
        <w:top w:w="0" w:type="dxa"/>
        <w:right w:w="0" w:type="dxa"/>
        <w:bottom w:w="0" w:type="dxa"/>
      </w:tblCellMar>
    </w:tblPr>
  </w:style>
  <w:style w:type="table" w:styleId="855" w:customStyle="1">
    <w:name w:val="Grid Table 1 Light - Accent 3"/>
    <w:uiPriority w:val="99"/>
    <w:qFormat/>
    <w:tblPr>
      <w:tblCellMar>
        <w:left w:w="0" w:type="dxa"/>
        <w:top w:w="0" w:type="dxa"/>
        <w:right w:w="0" w:type="dxa"/>
        <w:bottom w:w="0" w:type="dxa"/>
      </w:tblCellMar>
    </w:tblPr>
  </w:style>
  <w:style w:type="table" w:styleId="856" w:customStyle="1">
    <w:name w:val="Grid Table 1 Light - Accent 4"/>
    <w:uiPriority w:val="99"/>
    <w:qFormat/>
    <w:tblPr>
      <w:tblCellMar>
        <w:left w:w="0" w:type="dxa"/>
        <w:top w:w="0" w:type="dxa"/>
        <w:right w:w="0" w:type="dxa"/>
        <w:bottom w:w="0" w:type="dxa"/>
      </w:tblCellMar>
    </w:tblPr>
  </w:style>
  <w:style w:type="table" w:styleId="857" w:customStyle="1">
    <w:name w:val="Grid Table 1 Light - Accent 5"/>
    <w:uiPriority w:val="99"/>
    <w:qFormat/>
    <w:tblPr>
      <w:tblCellMar>
        <w:left w:w="0" w:type="dxa"/>
        <w:top w:w="0" w:type="dxa"/>
        <w:right w:w="0" w:type="dxa"/>
        <w:bottom w:w="0" w:type="dxa"/>
      </w:tblCellMar>
    </w:tblPr>
  </w:style>
  <w:style w:type="table" w:styleId="858" w:customStyle="1">
    <w:name w:val="Grid Table 1 Light - Accent 6"/>
    <w:uiPriority w:val="99"/>
    <w:qFormat/>
    <w:tblPr>
      <w:tblCellMar>
        <w:left w:w="0" w:type="dxa"/>
        <w:top w:w="0" w:type="dxa"/>
        <w:right w:w="0" w:type="dxa"/>
        <w:bottom w:w="0" w:type="dxa"/>
      </w:tblCellMar>
    </w:tblPr>
  </w:style>
  <w:style w:type="table" w:styleId="859" w:customStyle="1">
    <w:name w:val="Grid Table 2 - Accent 1"/>
    <w:uiPriority w:val="99"/>
    <w:qFormat/>
    <w:tblPr>
      <w:tblCellMar>
        <w:left w:w="0" w:type="dxa"/>
        <w:top w:w="0" w:type="dxa"/>
        <w:right w:w="0" w:type="dxa"/>
        <w:bottom w:w="0" w:type="dxa"/>
      </w:tblCellMar>
    </w:tblPr>
  </w:style>
  <w:style w:type="table" w:styleId="860" w:customStyle="1">
    <w:name w:val="Grid Table 2 - Accent 2"/>
    <w:uiPriority w:val="99"/>
    <w:qFormat/>
    <w:tblPr>
      <w:tblCellMar>
        <w:left w:w="0" w:type="dxa"/>
        <w:top w:w="0" w:type="dxa"/>
        <w:right w:w="0" w:type="dxa"/>
        <w:bottom w:w="0" w:type="dxa"/>
      </w:tblCellMar>
    </w:tblPr>
  </w:style>
  <w:style w:type="table" w:styleId="861" w:customStyle="1">
    <w:name w:val="Grid Table 2 - Accent 3"/>
    <w:uiPriority w:val="99"/>
    <w:qFormat/>
    <w:tblPr>
      <w:tblCellMar>
        <w:left w:w="0" w:type="dxa"/>
        <w:top w:w="0" w:type="dxa"/>
        <w:right w:w="0" w:type="dxa"/>
        <w:bottom w:w="0" w:type="dxa"/>
      </w:tblCellMar>
    </w:tblPr>
  </w:style>
  <w:style w:type="table" w:styleId="862" w:customStyle="1">
    <w:name w:val="Grid Table 2 - Accent 4"/>
    <w:uiPriority w:val="99"/>
    <w:qFormat/>
    <w:tblPr>
      <w:tblCellMar>
        <w:left w:w="0" w:type="dxa"/>
        <w:top w:w="0" w:type="dxa"/>
        <w:right w:w="0" w:type="dxa"/>
        <w:bottom w:w="0" w:type="dxa"/>
      </w:tblCellMar>
    </w:tblPr>
  </w:style>
  <w:style w:type="table" w:styleId="863" w:customStyle="1">
    <w:name w:val="Grid Table 2 - Accent 5"/>
    <w:uiPriority w:val="99"/>
    <w:qFormat/>
    <w:tblPr>
      <w:tblCellMar>
        <w:left w:w="0" w:type="dxa"/>
        <w:top w:w="0" w:type="dxa"/>
        <w:right w:w="0" w:type="dxa"/>
        <w:bottom w:w="0" w:type="dxa"/>
      </w:tblCellMar>
    </w:tblPr>
  </w:style>
  <w:style w:type="table" w:styleId="864" w:customStyle="1">
    <w:name w:val="Grid Table 2 - Accent 6"/>
    <w:uiPriority w:val="99"/>
    <w:qFormat/>
    <w:tblPr>
      <w:tblCellMar>
        <w:left w:w="0" w:type="dxa"/>
        <w:top w:w="0" w:type="dxa"/>
        <w:right w:w="0" w:type="dxa"/>
        <w:bottom w:w="0" w:type="dxa"/>
      </w:tblCellMar>
    </w:tblPr>
  </w:style>
  <w:style w:type="table" w:styleId="865" w:customStyle="1">
    <w:name w:val="Grid Table 3 - Accent 1"/>
    <w:uiPriority w:val="99"/>
    <w:qFormat/>
    <w:tblPr>
      <w:tblCellMar>
        <w:left w:w="0" w:type="dxa"/>
        <w:top w:w="0" w:type="dxa"/>
        <w:right w:w="0" w:type="dxa"/>
        <w:bottom w:w="0" w:type="dxa"/>
      </w:tblCellMar>
    </w:tblPr>
  </w:style>
  <w:style w:type="table" w:styleId="866" w:customStyle="1">
    <w:name w:val="Grid Table 3 - Accent 2"/>
    <w:uiPriority w:val="99"/>
    <w:qFormat/>
    <w:tblPr>
      <w:tblCellMar>
        <w:left w:w="0" w:type="dxa"/>
        <w:top w:w="0" w:type="dxa"/>
        <w:right w:w="0" w:type="dxa"/>
        <w:bottom w:w="0" w:type="dxa"/>
      </w:tblCellMar>
    </w:tblPr>
  </w:style>
  <w:style w:type="table" w:styleId="867" w:customStyle="1">
    <w:name w:val="Grid Table 3 - Accent 3"/>
    <w:uiPriority w:val="99"/>
    <w:qFormat/>
    <w:tblPr>
      <w:tblCellMar>
        <w:left w:w="0" w:type="dxa"/>
        <w:top w:w="0" w:type="dxa"/>
        <w:right w:w="0" w:type="dxa"/>
        <w:bottom w:w="0" w:type="dxa"/>
      </w:tblCellMar>
    </w:tblPr>
  </w:style>
  <w:style w:type="table" w:styleId="868" w:customStyle="1">
    <w:name w:val="Grid Table 3 - Accent 4"/>
    <w:uiPriority w:val="99"/>
    <w:qFormat/>
    <w:tblPr>
      <w:tblCellMar>
        <w:left w:w="0" w:type="dxa"/>
        <w:top w:w="0" w:type="dxa"/>
        <w:right w:w="0" w:type="dxa"/>
        <w:bottom w:w="0" w:type="dxa"/>
      </w:tblCellMar>
    </w:tblPr>
  </w:style>
  <w:style w:type="table" w:styleId="869" w:customStyle="1">
    <w:name w:val="Grid Table 3 - Accent 5"/>
    <w:uiPriority w:val="99"/>
    <w:qFormat/>
    <w:tblPr>
      <w:tblCellMar>
        <w:left w:w="0" w:type="dxa"/>
        <w:top w:w="0" w:type="dxa"/>
        <w:right w:w="0" w:type="dxa"/>
        <w:bottom w:w="0" w:type="dxa"/>
      </w:tblCellMar>
    </w:tblPr>
  </w:style>
  <w:style w:type="table" w:styleId="870" w:customStyle="1">
    <w:name w:val="Grid Table 3 - Accent 6"/>
    <w:uiPriority w:val="99"/>
    <w:qFormat/>
    <w:tblPr>
      <w:tblCellMar>
        <w:left w:w="0" w:type="dxa"/>
        <w:top w:w="0" w:type="dxa"/>
        <w:right w:w="0" w:type="dxa"/>
        <w:bottom w:w="0" w:type="dxa"/>
      </w:tblCellMar>
    </w:tblPr>
  </w:style>
  <w:style w:type="table" w:styleId="871" w:customStyle="1">
    <w:name w:val="Grid Table 4 - Accent 1"/>
    <w:uiPriority w:val="59"/>
    <w:qFormat/>
    <w:tblPr>
      <w:tblCellMar>
        <w:left w:w="0" w:type="dxa"/>
        <w:top w:w="0" w:type="dxa"/>
        <w:right w:w="0" w:type="dxa"/>
        <w:bottom w:w="0" w:type="dxa"/>
      </w:tblCellMar>
    </w:tblPr>
  </w:style>
  <w:style w:type="table" w:styleId="872" w:customStyle="1">
    <w:name w:val="Grid Table 4 - Accent 2"/>
    <w:uiPriority w:val="59"/>
    <w:qFormat/>
    <w:tblPr>
      <w:tblCellMar>
        <w:left w:w="0" w:type="dxa"/>
        <w:top w:w="0" w:type="dxa"/>
        <w:right w:w="0" w:type="dxa"/>
        <w:bottom w:w="0" w:type="dxa"/>
      </w:tblCellMar>
    </w:tblPr>
  </w:style>
  <w:style w:type="table" w:styleId="873" w:customStyle="1">
    <w:name w:val="Grid Table 4 - Accent 3"/>
    <w:uiPriority w:val="59"/>
    <w:qFormat/>
    <w:tblPr>
      <w:tblCellMar>
        <w:left w:w="0" w:type="dxa"/>
        <w:top w:w="0" w:type="dxa"/>
        <w:right w:w="0" w:type="dxa"/>
        <w:bottom w:w="0" w:type="dxa"/>
      </w:tblCellMar>
    </w:tblPr>
  </w:style>
  <w:style w:type="table" w:styleId="874" w:customStyle="1">
    <w:name w:val="Grid Table 4 - Accent 4"/>
    <w:uiPriority w:val="59"/>
    <w:qFormat/>
    <w:tblPr>
      <w:tblCellMar>
        <w:left w:w="0" w:type="dxa"/>
        <w:top w:w="0" w:type="dxa"/>
        <w:right w:w="0" w:type="dxa"/>
        <w:bottom w:w="0" w:type="dxa"/>
      </w:tblCellMar>
    </w:tblPr>
  </w:style>
  <w:style w:type="table" w:styleId="875" w:customStyle="1">
    <w:name w:val="Grid Table 4 - Accent 5"/>
    <w:uiPriority w:val="59"/>
    <w:qFormat/>
    <w:tblPr>
      <w:tblCellMar>
        <w:left w:w="0" w:type="dxa"/>
        <w:top w:w="0" w:type="dxa"/>
        <w:right w:w="0" w:type="dxa"/>
        <w:bottom w:w="0" w:type="dxa"/>
      </w:tblCellMar>
    </w:tblPr>
  </w:style>
  <w:style w:type="table" w:styleId="876" w:customStyle="1">
    <w:name w:val="Grid Table 4 - Accent 6"/>
    <w:uiPriority w:val="59"/>
    <w:qFormat/>
    <w:tblPr>
      <w:tblCellMar>
        <w:left w:w="0" w:type="dxa"/>
        <w:top w:w="0" w:type="dxa"/>
        <w:right w:w="0" w:type="dxa"/>
        <w:bottom w:w="0" w:type="dxa"/>
      </w:tblCellMar>
    </w:tblPr>
  </w:style>
  <w:style w:type="table" w:styleId="877" w:customStyle="1">
    <w:name w:val="Grid Table 5 Dark- Accent 1"/>
    <w:uiPriority w:val="99"/>
    <w:qFormat/>
    <w:tblPr>
      <w:tblCellMar>
        <w:left w:w="0" w:type="dxa"/>
        <w:top w:w="0" w:type="dxa"/>
        <w:right w:w="0" w:type="dxa"/>
        <w:bottom w:w="0" w:type="dxa"/>
      </w:tblCellMar>
    </w:tblPr>
  </w:style>
  <w:style w:type="table" w:styleId="878" w:customStyle="1">
    <w:name w:val="Grid Table 5 Dark - Accent 2"/>
    <w:uiPriority w:val="99"/>
    <w:qFormat/>
    <w:tblPr>
      <w:tblCellMar>
        <w:left w:w="0" w:type="dxa"/>
        <w:top w:w="0" w:type="dxa"/>
        <w:right w:w="0" w:type="dxa"/>
        <w:bottom w:w="0" w:type="dxa"/>
      </w:tblCellMar>
    </w:tblPr>
  </w:style>
  <w:style w:type="table" w:styleId="879" w:customStyle="1">
    <w:name w:val="Grid Table 5 Dark - Accent 3"/>
    <w:uiPriority w:val="99"/>
    <w:qFormat/>
    <w:tblPr>
      <w:tblCellMar>
        <w:left w:w="0" w:type="dxa"/>
        <w:top w:w="0" w:type="dxa"/>
        <w:right w:w="0" w:type="dxa"/>
        <w:bottom w:w="0" w:type="dxa"/>
      </w:tblCellMar>
    </w:tblPr>
  </w:style>
  <w:style w:type="table" w:styleId="880" w:customStyle="1">
    <w:name w:val="Grid Table 5 Dark- Accent 4"/>
    <w:uiPriority w:val="99"/>
    <w:qFormat/>
    <w:tblPr>
      <w:tblCellMar>
        <w:left w:w="0" w:type="dxa"/>
        <w:top w:w="0" w:type="dxa"/>
        <w:right w:w="0" w:type="dxa"/>
        <w:bottom w:w="0" w:type="dxa"/>
      </w:tblCellMar>
    </w:tblPr>
  </w:style>
  <w:style w:type="table" w:styleId="881" w:customStyle="1">
    <w:name w:val="Grid Table 5 Dark - Accent 5"/>
    <w:uiPriority w:val="99"/>
    <w:qFormat/>
    <w:tblPr>
      <w:tblCellMar>
        <w:left w:w="0" w:type="dxa"/>
        <w:top w:w="0" w:type="dxa"/>
        <w:right w:w="0" w:type="dxa"/>
        <w:bottom w:w="0" w:type="dxa"/>
      </w:tblCellMar>
    </w:tblPr>
  </w:style>
  <w:style w:type="table" w:styleId="882" w:customStyle="1">
    <w:name w:val="Grid Table 5 Dark - Accent 6"/>
    <w:uiPriority w:val="99"/>
    <w:qFormat/>
    <w:tblPr>
      <w:tblCellMar>
        <w:left w:w="0" w:type="dxa"/>
        <w:top w:w="0" w:type="dxa"/>
        <w:right w:w="0" w:type="dxa"/>
        <w:bottom w:w="0" w:type="dxa"/>
      </w:tblCellMar>
    </w:tblPr>
  </w:style>
  <w:style w:type="table" w:styleId="883" w:customStyle="1">
    <w:name w:val="Grid Table 6 Colorful - Accent 1"/>
    <w:uiPriority w:val="99"/>
    <w:qFormat/>
    <w:tblPr>
      <w:tblCellMar>
        <w:left w:w="0" w:type="dxa"/>
        <w:top w:w="0" w:type="dxa"/>
        <w:right w:w="0" w:type="dxa"/>
        <w:bottom w:w="0" w:type="dxa"/>
      </w:tblCellMar>
    </w:tblPr>
  </w:style>
  <w:style w:type="table" w:styleId="884" w:customStyle="1">
    <w:name w:val="Grid Table 6 Colorful - Accent 2"/>
    <w:uiPriority w:val="99"/>
    <w:qFormat/>
    <w:tblPr>
      <w:tblCellMar>
        <w:left w:w="0" w:type="dxa"/>
        <w:top w:w="0" w:type="dxa"/>
        <w:right w:w="0" w:type="dxa"/>
        <w:bottom w:w="0" w:type="dxa"/>
      </w:tblCellMar>
    </w:tblPr>
  </w:style>
  <w:style w:type="table" w:styleId="885" w:customStyle="1">
    <w:name w:val="Grid Table 6 Colorful - Accent 3"/>
    <w:uiPriority w:val="99"/>
    <w:qFormat/>
    <w:tblPr>
      <w:tblCellMar>
        <w:left w:w="0" w:type="dxa"/>
        <w:top w:w="0" w:type="dxa"/>
        <w:right w:w="0" w:type="dxa"/>
        <w:bottom w:w="0" w:type="dxa"/>
      </w:tblCellMar>
    </w:tblPr>
  </w:style>
  <w:style w:type="table" w:styleId="886" w:customStyle="1">
    <w:name w:val="Grid Table 6 Colorful - Accent 4"/>
    <w:uiPriority w:val="99"/>
    <w:qFormat/>
    <w:tblPr>
      <w:tblCellMar>
        <w:left w:w="0" w:type="dxa"/>
        <w:top w:w="0" w:type="dxa"/>
        <w:right w:w="0" w:type="dxa"/>
        <w:bottom w:w="0" w:type="dxa"/>
      </w:tblCellMar>
    </w:tblPr>
  </w:style>
  <w:style w:type="table" w:styleId="887" w:customStyle="1">
    <w:name w:val="Grid Table 6 Colorful - Accent 5"/>
    <w:uiPriority w:val="99"/>
    <w:qFormat/>
    <w:tblPr>
      <w:tblCellMar>
        <w:left w:w="0" w:type="dxa"/>
        <w:top w:w="0" w:type="dxa"/>
        <w:right w:w="0" w:type="dxa"/>
        <w:bottom w:w="0" w:type="dxa"/>
      </w:tblCellMar>
    </w:tblPr>
  </w:style>
  <w:style w:type="table" w:styleId="888" w:customStyle="1">
    <w:name w:val="Grid Table 6 Colorful - Accent 6"/>
    <w:uiPriority w:val="99"/>
    <w:qFormat/>
    <w:tblPr>
      <w:tblCellMar>
        <w:left w:w="0" w:type="dxa"/>
        <w:top w:w="0" w:type="dxa"/>
        <w:right w:w="0" w:type="dxa"/>
        <w:bottom w:w="0" w:type="dxa"/>
      </w:tblCellMar>
    </w:tblPr>
  </w:style>
  <w:style w:type="table" w:styleId="889" w:customStyle="1">
    <w:name w:val="Grid Table 7 Colorful - Accent 1"/>
    <w:uiPriority w:val="99"/>
    <w:qFormat/>
    <w:tblPr>
      <w:tblCellMar>
        <w:left w:w="0" w:type="dxa"/>
        <w:top w:w="0" w:type="dxa"/>
        <w:right w:w="0" w:type="dxa"/>
        <w:bottom w:w="0" w:type="dxa"/>
      </w:tblCellMar>
    </w:tblPr>
  </w:style>
  <w:style w:type="table" w:styleId="890" w:customStyle="1">
    <w:name w:val="Grid Table 7 Colorful - Accent 2"/>
    <w:uiPriority w:val="99"/>
    <w:qFormat/>
    <w:tblPr>
      <w:tblCellMar>
        <w:left w:w="0" w:type="dxa"/>
        <w:top w:w="0" w:type="dxa"/>
        <w:right w:w="0" w:type="dxa"/>
        <w:bottom w:w="0" w:type="dxa"/>
      </w:tblCellMar>
    </w:tblPr>
  </w:style>
  <w:style w:type="table" w:styleId="891" w:customStyle="1">
    <w:name w:val="Grid Table 7 Colorful - Accent 3"/>
    <w:uiPriority w:val="99"/>
    <w:qFormat/>
    <w:tblPr>
      <w:tblCellMar>
        <w:left w:w="0" w:type="dxa"/>
        <w:top w:w="0" w:type="dxa"/>
        <w:right w:w="0" w:type="dxa"/>
        <w:bottom w:w="0" w:type="dxa"/>
      </w:tblCellMar>
    </w:tblPr>
  </w:style>
  <w:style w:type="table" w:styleId="892" w:customStyle="1">
    <w:name w:val="Grid Table 7 Colorful - Accent 4"/>
    <w:uiPriority w:val="99"/>
    <w:qFormat/>
    <w:tblPr>
      <w:tblCellMar>
        <w:left w:w="0" w:type="dxa"/>
        <w:top w:w="0" w:type="dxa"/>
        <w:right w:w="0" w:type="dxa"/>
        <w:bottom w:w="0" w:type="dxa"/>
      </w:tblCellMar>
    </w:tblPr>
  </w:style>
  <w:style w:type="table" w:styleId="893" w:customStyle="1">
    <w:name w:val="Grid Table 7 Colorful - Accent 5"/>
    <w:uiPriority w:val="99"/>
    <w:qFormat/>
    <w:tblPr>
      <w:tblCellMar>
        <w:left w:w="0" w:type="dxa"/>
        <w:top w:w="0" w:type="dxa"/>
        <w:right w:w="0" w:type="dxa"/>
        <w:bottom w:w="0" w:type="dxa"/>
      </w:tblCellMar>
    </w:tblPr>
  </w:style>
  <w:style w:type="table" w:styleId="894" w:customStyle="1">
    <w:name w:val="Grid Table 7 Colorful - Accent 6"/>
    <w:uiPriority w:val="99"/>
    <w:qFormat/>
    <w:tblPr>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List Table 2 - Accent 1"/>
    <w:uiPriority w:val="99"/>
    <w:qFormat/>
    <w:tblPr>
      <w:tblCellMar>
        <w:left w:w="0" w:type="dxa"/>
        <w:top w:w="0" w:type="dxa"/>
        <w:right w:w="0" w:type="dxa"/>
        <w:bottom w:w="0" w:type="dxa"/>
      </w:tblCellMar>
    </w:tblPr>
  </w:style>
  <w:style w:type="table" w:styleId="902" w:customStyle="1">
    <w:name w:val="List Table 2 - Accent 2"/>
    <w:uiPriority w:val="99"/>
    <w:qFormat/>
    <w:tblPr>
      <w:tblCellMar>
        <w:left w:w="0" w:type="dxa"/>
        <w:top w:w="0" w:type="dxa"/>
        <w:right w:w="0" w:type="dxa"/>
        <w:bottom w:w="0" w:type="dxa"/>
      </w:tblCellMar>
    </w:tblPr>
  </w:style>
  <w:style w:type="table" w:styleId="903" w:customStyle="1">
    <w:name w:val="List Table 2 - Accent 3"/>
    <w:uiPriority w:val="99"/>
    <w:qFormat/>
    <w:tblPr>
      <w:tblCellMar>
        <w:left w:w="0" w:type="dxa"/>
        <w:top w:w="0" w:type="dxa"/>
        <w:right w:w="0" w:type="dxa"/>
        <w:bottom w:w="0" w:type="dxa"/>
      </w:tblCellMar>
    </w:tblPr>
  </w:style>
  <w:style w:type="table" w:styleId="904" w:customStyle="1">
    <w:name w:val="List Table 2 - Accent 4"/>
    <w:uiPriority w:val="99"/>
    <w:qFormat/>
    <w:tblPr>
      <w:tblCellMar>
        <w:left w:w="0" w:type="dxa"/>
        <w:top w:w="0" w:type="dxa"/>
        <w:right w:w="0" w:type="dxa"/>
        <w:bottom w:w="0" w:type="dxa"/>
      </w:tblCellMar>
    </w:tblPr>
  </w:style>
  <w:style w:type="table" w:styleId="905" w:customStyle="1">
    <w:name w:val="List Table 2 - Accent 5"/>
    <w:uiPriority w:val="99"/>
    <w:qFormat/>
    <w:tblPr>
      <w:tblCellMar>
        <w:left w:w="0" w:type="dxa"/>
        <w:top w:w="0" w:type="dxa"/>
        <w:right w:w="0" w:type="dxa"/>
        <w:bottom w:w="0" w:type="dxa"/>
      </w:tblCellMar>
    </w:tblPr>
  </w:style>
  <w:style w:type="table" w:styleId="906" w:customStyle="1">
    <w:name w:val="List Table 2 - Accent 6"/>
    <w:uiPriority w:val="99"/>
    <w:qFormat/>
    <w:tblPr>
      <w:tblCellMar>
        <w:left w:w="0" w:type="dxa"/>
        <w:top w:w="0" w:type="dxa"/>
        <w:right w:w="0" w:type="dxa"/>
        <w:bottom w:w="0" w:type="dxa"/>
      </w:tblCellMar>
    </w:tblPr>
  </w:style>
  <w:style w:type="table" w:styleId="907" w:customStyle="1">
    <w:name w:val="List Table 3 - Accent 1"/>
    <w:uiPriority w:val="99"/>
    <w:qFormat/>
    <w:tblPr>
      <w:tblCellMar>
        <w:left w:w="0" w:type="dxa"/>
        <w:top w:w="0" w:type="dxa"/>
        <w:right w:w="0" w:type="dxa"/>
        <w:bottom w:w="0" w:type="dxa"/>
      </w:tblCellMar>
    </w:tblPr>
  </w:style>
  <w:style w:type="table" w:styleId="908" w:customStyle="1">
    <w:name w:val="List Table 3 - Accent 2"/>
    <w:uiPriority w:val="99"/>
    <w:qFormat/>
    <w:tblPr>
      <w:tblCellMar>
        <w:left w:w="0" w:type="dxa"/>
        <w:top w:w="0" w:type="dxa"/>
        <w:right w:w="0" w:type="dxa"/>
        <w:bottom w:w="0" w:type="dxa"/>
      </w:tblCellMar>
    </w:tblPr>
  </w:style>
  <w:style w:type="table" w:styleId="909" w:customStyle="1">
    <w:name w:val="List Table 3 - Accent 3"/>
    <w:uiPriority w:val="99"/>
    <w:qFormat/>
    <w:tblPr>
      <w:tblCellMar>
        <w:left w:w="0" w:type="dxa"/>
        <w:top w:w="0" w:type="dxa"/>
        <w:right w:w="0" w:type="dxa"/>
        <w:bottom w:w="0" w:type="dxa"/>
      </w:tblCellMar>
    </w:tblPr>
  </w:style>
  <w:style w:type="table" w:styleId="910" w:customStyle="1">
    <w:name w:val="List Table 3 - Accent 4"/>
    <w:uiPriority w:val="99"/>
    <w:qFormat/>
    <w:tblPr>
      <w:tblCellMar>
        <w:left w:w="0" w:type="dxa"/>
        <w:top w:w="0" w:type="dxa"/>
        <w:right w:w="0" w:type="dxa"/>
        <w:bottom w:w="0" w:type="dxa"/>
      </w:tblCellMar>
    </w:tblPr>
  </w:style>
  <w:style w:type="table" w:styleId="911" w:customStyle="1">
    <w:name w:val="List Table 3 - Accent 5"/>
    <w:uiPriority w:val="99"/>
    <w:qFormat/>
    <w:tblPr>
      <w:tblCellMar>
        <w:left w:w="0" w:type="dxa"/>
        <w:top w:w="0" w:type="dxa"/>
        <w:right w:w="0" w:type="dxa"/>
        <w:bottom w:w="0" w:type="dxa"/>
      </w:tblCellMar>
    </w:tblPr>
  </w:style>
  <w:style w:type="table" w:styleId="912" w:customStyle="1">
    <w:name w:val="List Table 3 - Accent 6"/>
    <w:uiPriority w:val="99"/>
    <w:qFormat/>
    <w:tblPr>
      <w:tblCellMar>
        <w:left w:w="0" w:type="dxa"/>
        <w:top w:w="0" w:type="dxa"/>
        <w:right w:w="0" w:type="dxa"/>
        <w:bottom w:w="0" w:type="dxa"/>
      </w:tblCellMar>
    </w:tblPr>
  </w:style>
  <w:style w:type="table" w:styleId="913" w:customStyle="1">
    <w:name w:val="List Table 4 - Accent 1"/>
    <w:uiPriority w:val="99"/>
    <w:qFormat/>
    <w:tblPr>
      <w:tblCellMar>
        <w:left w:w="0" w:type="dxa"/>
        <w:top w:w="0" w:type="dxa"/>
        <w:right w:w="0" w:type="dxa"/>
        <w:bottom w:w="0" w:type="dxa"/>
      </w:tblCellMar>
    </w:tblPr>
  </w:style>
  <w:style w:type="table" w:styleId="914" w:customStyle="1">
    <w:name w:val="List Table 4 - Accent 2"/>
    <w:uiPriority w:val="99"/>
    <w:qFormat/>
    <w:tblPr>
      <w:tblCellMar>
        <w:left w:w="0" w:type="dxa"/>
        <w:top w:w="0" w:type="dxa"/>
        <w:right w:w="0" w:type="dxa"/>
        <w:bottom w:w="0" w:type="dxa"/>
      </w:tblCellMar>
    </w:tblPr>
  </w:style>
  <w:style w:type="table" w:styleId="915" w:customStyle="1">
    <w:name w:val="List Table 4 - Accent 3"/>
    <w:uiPriority w:val="99"/>
    <w:qFormat/>
    <w:tblPr>
      <w:tblCellMar>
        <w:left w:w="0" w:type="dxa"/>
        <w:top w:w="0" w:type="dxa"/>
        <w:right w:w="0" w:type="dxa"/>
        <w:bottom w:w="0" w:type="dxa"/>
      </w:tblCellMar>
    </w:tblPr>
  </w:style>
  <w:style w:type="table" w:styleId="916" w:customStyle="1">
    <w:name w:val="List Table 4 - Accent 4"/>
    <w:uiPriority w:val="99"/>
    <w:qFormat/>
    <w:tblPr>
      <w:tblCellMar>
        <w:left w:w="0" w:type="dxa"/>
        <w:top w:w="0" w:type="dxa"/>
        <w:right w:w="0" w:type="dxa"/>
        <w:bottom w:w="0" w:type="dxa"/>
      </w:tblCellMar>
    </w:tblPr>
  </w:style>
  <w:style w:type="table" w:styleId="917" w:customStyle="1">
    <w:name w:val="List Table 4 - Accent 5"/>
    <w:uiPriority w:val="99"/>
    <w:qFormat/>
    <w:tblPr>
      <w:tblCellMar>
        <w:left w:w="0" w:type="dxa"/>
        <w:top w:w="0" w:type="dxa"/>
        <w:right w:w="0" w:type="dxa"/>
        <w:bottom w:w="0" w:type="dxa"/>
      </w:tblCellMar>
    </w:tblPr>
  </w:style>
  <w:style w:type="table" w:styleId="918" w:customStyle="1">
    <w:name w:val="List Table 4 - Accent 6"/>
    <w:uiPriority w:val="99"/>
    <w:qFormat/>
    <w:tblPr>
      <w:tblCellMar>
        <w:left w:w="0" w:type="dxa"/>
        <w:top w:w="0" w:type="dxa"/>
        <w:right w:w="0" w:type="dxa"/>
        <w:bottom w:w="0" w:type="dxa"/>
      </w:tblCellMar>
    </w:tblPr>
  </w:style>
  <w:style w:type="table" w:styleId="919" w:customStyle="1">
    <w:name w:val="List Table 5 Dark - Accent 1"/>
    <w:uiPriority w:val="99"/>
    <w:qFormat/>
    <w:tblPr>
      <w:tblCellMar>
        <w:left w:w="0" w:type="dxa"/>
        <w:top w:w="0" w:type="dxa"/>
        <w:right w:w="0" w:type="dxa"/>
        <w:bottom w:w="0" w:type="dxa"/>
      </w:tblCellMar>
    </w:tblPr>
  </w:style>
  <w:style w:type="table" w:styleId="920" w:customStyle="1">
    <w:name w:val="List Table 5 Dark - Accent 2"/>
    <w:uiPriority w:val="99"/>
    <w:qFormat/>
    <w:tblPr>
      <w:tblCellMar>
        <w:left w:w="0" w:type="dxa"/>
        <w:top w:w="0" w:type="dxa"/>
        <w:right w:w="0" w:type="dxa"/>
        <w:bottom w:w="0" w:type="dxa"/>
      </w:tblCellMar>
    </w:tblPr>
  </w:style>
  <w:style w:type="table" w:styleId="921" w:customStyle="1">
    <w:name w:val="List Table 5 Dark - Accent 3"/>
    <w:uiPriority w:val="99"/>
    <w:qFormat/>
    <w:tblPr>
      <w:tblCellMar>
        <w:left w:w="0" w:type="dxa"/>
        <w:top w:w="0" w:type="dxa"/>
        <w:right w:w="0" w:type="dxa"/>
        <w:bottom w:w="0" w:type="dxa"/>
      </w:tblCellMar>
    </w:tblPr>
  </w:style>
  <w:style w:type="table" w:styleId="922" w:customStyle="1">
    <w:name w:val="List Table 5 Dark - Accent 4"/>
    <w:uiPriority w:val="99"/>
    <w:qFormat/>
    <w:tblPr>
      <w:tblCellMar>
        <w:left w:w="0" w:type="dxa"/>
        <w:top w:w="0" w:type="dxa"/>
        <w:right w:w="0" w:type="dxa"/>
        <w:bottom w:w="0" w:type="dxa"/>
      </w:tblCellMar>
    </w:tblPr>
  </w:style>
  <w:style w:type="table" w:styleId="923" w:customStyle="1">
    <w:name w:val="List Table 5 Dark - Accent 5"/>
    <w:uiPriority w:val="99"/>
    <w:qFormat/>
    <w:tblPr>
      <w:tblCellMar>
        <w:left w:w="0" w:type="dxa"/>
        <w:top w:w="0" w:type="dxa"/>
        <w:right w:w="0" w:type="dxa"/>
        <w:bottom w:w="0" w:type="dxa"/>
      </w:tblCellMar>
    </w:tblPr>
  </w:style>
  <w:style w:type="table" w:styleId="924" w:customStyle="1">
    <w:name w:val="List Table 5 Dark - Accent 6"/>
    <w:uiPriority w:val="99"/>
    <w:qFormat/>
    <w:tblPr>
      <w:tblCellMar>
        <w:left w:w="0" w:type="dxa"/>
        <w:top w:w="0" w:type="dxa"/>
        <w:right w:w="0" w:type="dxa"/>
        <w:bottom w:w="0" w:type="dxa"/>
      </w:tblCellMar>
    </w:tblPr>
  </w:style>
  <w:style w:type="table" w:styleId="925" w:customStyle="1">
    <w:name w:val="List Table 6 Colorful - Accent 1"/>
    <w:uiPriority w:val="99"/>
    <w:qFormat/>
    <w:tblPr>
      <w:tblCellMar>
        <w:left w:w="0" w:type="dxa"/>
        <w:top w:w="0" w:type="dxa"/>
        <w:right w:w="0" w:type="dxa"/>
        <w:bottom w:w="0" w:type="dxa"/>
      </w:tblCellMar>
    </w:tblPr>
  </w:style>
  <w:style w:type="table" w:styleId="926" w:customStyle="1">
    <w:name w:val="List Table 6 Colorful - Accent 2"/>
    <w:uiPriority w:val="99"/>
    <w:qFormat/>
    <w:tblPr>
      <w:tblCellMar>
        <w:left w:w="0" w:type="dxa"/>
        <w:top w:w="0" w:type="dxa"/>
        <w:right w:w="0" w:type="dxa"/>
        <w:bottom w:w="0" w:type="dxa"/>
      </w:tblCellMar>
    </w:tblPr>
  </w:style>
  <w:style w:type="table" w:styleId="927" w:customStyle="1">
    <w:name w:val="List Table 6 Colorful - Accent 3"/>
    <w:uiPriority w:val="99"/>
    <w:qFormat/>
    <w:tblPr>
      <w:tblCellMar>
        <w:left w:w="0" w:type="dxa"/>
        <w:top w:w="0" w:type="dxa"/>
        <w:right w:w="0" w:type="dxa"/>
        <w:bottom w:w="0" w:type="dxa"/>
      </w:tblCellMar>
    </w:tblPr>
  </w:style>
  <w:style w:type="table" w:styleId="928" w:customStyle="1">
    <w:name w:val="List Table 6 Colorful - Accent 4"/>
    <w:uiPriority w:val="99"/>
    <w:qFormat/>
    <w:tblPr>
      <w:tblCellMar>
        <w:left w:w="0" w:type="dxa"/>
        <w:top w:w="0" w:type="dxa"/>
        <w:right w:w="0" w:type="dxa"/>
        <w:bottom w:w="0" w:type="dxa"/>
      </w:tblCellMar>
    </w:tblPr>
  </w:style>
  <w:style w:type="table" w:styleId="929" w:customStyle="1">
    <w:name w:val="List Table 6 Colorful - Accent 5"/>
    <w:uiPriority w:val="99"/>
    <w:qFormat/>
    <w:tblPr>
      <w:tblCellMar>
        <w:left w:w="0" w:type="dxa"/>
        <w:top w:w="0" w:type="dxa"/>
        <w:right w:w="0" w:type="dxa"/>
        <w:bottom w:w="0" w:type="dxa"/>
      </w:tblCellMar>
    </w:tblPr>
  </w:style>
  <w:style w:type="table" w:styleId="930" w:customStyle="1">
    <w:name w:val="List Table 6 Colorful - Accent 6"/>
    <w:uiPriority w:val="99"/>
    <w:qFormat/>
    <w:tblPr>
      <w:tblCellMar>
        <w:left w:w="0" w:type="dxa"/>
        <w:top w:w="0" w:type="dxa"/>
        <w:right w:w="0" w:type="dxa"/>
        <w:bottom w:w="0" w:type="dxa"/>
      </w:tblCellMar>
    </w:tblPr>
  </w:style>
  <w:style w:type="table" w:styleId="931" w:customStyle="1">
    <w:name w:val="List Table 7 Colorful - Accent 1"/>
    <w:uiPriority w:val="99"/>
    <w:qFormat/>
    <w:tblPr>
      <w:tblCellMar>
        <w:left w:w="0" w:type="dxa"/>
        <w:top w:w="0" w:type="dxa"/>
        <w:right w:w="0" w:type="dxa"/>
        <w:bottom w:w="0" w:type="dxa"/>
      </w:tblCellMar>
    </w:tblPr>
  </w:style>
  <w:style w:type="table" w:styleId="932" w:customStyle="1">
    <w:name w:val="List Table 7 Colorful - Accent 2"/>
    <w:uiPriority w:val="99"/>
    <w:qFormat/>
    <w:tblPr>
      <w:tblCellMar>
        <w:left w:w="0" w:type="dxa"/>
        <w:top w:w="0" w:type="dxa"/>
        <w:right w:w="0" w:type="dxa"/>
        <w:bottom w:w="0" w:type="dxa"/>
      </w:tblCellMar>
    </w:tblPr>
  </w:style>
  <w:style w:type="table" w:styleId="933" w:customStyle="1">
    <w:name w:val="List Table 7 Colorful - Accent 3"/>
    <w:uiPriority w:val="99"/>
    <w:qFormat/>
    <w:tblPr>
      <w:tblCellMar>
        <w:left w:w="0" w:type="dxa"/>
        <w:top w:w="0" w:type="dxa"/>
        <w:right w:w="0" w:type="dxa"/>
        <w:bottom w:w="0" w:type="dxa"/>
      </w:tblCellMar>
    </w:tblPr>
  </w:style>
  <w:style w:type="table" w:styleId="934" w:customStyle="1">
    <w:name w:val="List Table 7 Colorful - Accent 4"/>
    <w:uiPriority w:val="99"/>
    <w:qFormat/>
    <w:tblPr>
      <w:tblCellMar>
        <w:left w:w="0" w:type="dxa"/>
        <w:top w:w="0" w:type="dxa"/>
        <w:right w:w="0" w:type="dxa"/>
        <w:bottom w:w="0" w:type="dxa"/>
      </w:tblCellMar>
    </w:tblPr>
  </w:style>
  <w:style w:type="table" w:styleId="935" w:customStyle="1">
    <w:name w:val="List Table 7 Colorful - Accent 5"/>
    <w:uiPriority w:val="99"/>
    <w:qFormat/>
    <w:tblPr>
      <w:tblCellMar>
        <w:left w:w="0" w:type="dxa"/>
        <w:top w:w="0" w:type="dxa"/>
        <w:right w:w="0" w:type="dxa"/>
        <w:bottom w:w="0" w:type="dxa"/>
      </w:tblCellMar>
    </w:tblPr>
  </w:style>
  <w:style w:type="table" w:styleId="936" w:customStyle="1">
    <w:name w:val="List Table 7 Colorful - Accent 6"/>
    <w:uiPriority w:val="99"/>
    <w:qFormat/>
    <w:tblPr>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CellMar>
        <w:left w:w="0" w:type="dxa"/>
        <w:top w:w="0" w:type="dxa"/>
        <w:right w:w="0" w:type="dxa"/>
        <w:bottom w:w="0" w:type="dxa"/>
      </w:tblCellMar>
    </w:tblPr>
  </w:style>
  <w:style w:type="table" w:styleId="945" w:customStyle="1">
    <w:name w:val="Bordered &amp; Lined - Accent 1"/>
    <w:uiPriority w:val="99"/>
    <w:qFormat/>
    <w:rPr>
      <w:color w:val="404040"/>
    </w:rPr>
    <w:tblPr>
      <w:tblCellMar>
        <w:left w:w="0" w:type="dxa"/>
        <w:top w:w="0" w:type="dxa"/>
        <w:right w:w="0" w:type="dxa"/>
        <w:bottom w:w="0" w:type="dxa"/>
      </w:tblCellMar>
    </w:tblPr>
  </w:style>
  <w:style w:type="table" w:styleId="946" w:customStyle="1">
    <w:name w:val="Bordered &amp; Lined - Accent 2"/>
    <w:uiPriority w:val="99"/>
    <w:qFormat/>
    <w:rPr>
      <w:color w:val="404040"/>
    </w:rPr>
    <w:tblPr>
      <w:tblCellMar>
        <w:left w:w="0" w:type="dxa"/>
        <w:top w:w="0" w:type="dxa"/>
        <w:right w:w="0" w:type="dxa"/>
        <w:bottom w:w="0" w:type="dxa"/>
      </w:tblCellMar>
    </w:tblPr>
  </w:style>
  <w:style w:type="table" w:styleId="947" w:customStyle="1">
    <w:name w:val="Bordered &amp; Lined - Accent 3"/>
    <w:uiPriority w:val="99"/>
    <w:qFormat/>
    <w:rPr>
      <w:color w:val="404040"/>
    </w:rPr>
    <w:tblPr>
      <w:tblCellMar>
        <w:left w:w="0" w:type="dxa"/>
        <w:top w:w="0" w:type="dxa"/>
        <w:right w:w="0" w:type="dxa"/>
        <w:bottom w:w="0" w:type="dxa"/>
      </w:tblCellMar>
    </w:tblPr>
  </w:style>
  <w:style w:type="table" w:styleId="948" w:customStyle="1">
    <w:name w:val="Bordered &amp; Lined - Accent 4"/>
    <w:uiPriority w:val="99"/>
    <w:qFormat/>
    <w:rPr>
      <w:color w:val="404040"/>
    </w:rPr>
    <w:tblPr>
      <w:tblCellMar>
        <w:left w:w="0" w:type="dxa"/>
        <w:top w:w="0" w:type="dxa"/>
        <w:right w:w="0" w:type="dxa"/>
        <w:bottom w:w="0" w:type="dxa"/>
      </w:tblCellMar>
    </w:tblPr>
  </w:style>
  <w:style w:type="table" w:styleId="949" w:customStyle="1">
    <w:name w:val="Bordered &amp; Lined - Accent 5"/>
    <w:uiPriority w:val="99"/>
    <w:qFormat/>
    <w:rPr>
      <w:color w:val="404040"/>
    </w:rPr>
    <w:tblPr>
      <w:tblCellMar>
        <w:left w:w="0" w:type="dxa"/>
        <w:top w:w="0" w:type="dxa"/>
        <w:right w:w="0" w:type="dxa"/>
        <w:bottom w:w="0" w:type="dxa"/>
      </w:tblCellMar>
    </w:tblPr>
  </w:style>
  <w:style w:type="table" w:styleId="950" w:customStyle="1">
    <w:name w:val="Bordered &amp; Lined - Accent 6"/>
    <w:uiPriority w:val="99"/>
    <w:qFormat/>
    <w:rPr>
      <w:color w:val="404040"/>
    </w:rPr>
    <w:tblPr>
      <w:tblCellMar>
        <w:left w:w="0" w:type="dxa"/>
        <w:top w:w="0" w:type="dxa"/>
        <w:right w:w="0" w:type="dxa"/>
        <w:bottom w:w="0" w:type="dxa"/>
      </w:tblCellMar>
    </w:tblPr>
  </w:style>
  <w:style w:type="table" w:styleId="951" w:customStyle="1">
    <w:name w:val="Bordered"/>
    <w:uiPriority w:val="99"/>
    <w:qFormat/>
    <w:tblPr>
      <w:tblCellMar>
        <w:left w:w="0" w:type="dxa"/>
        <w:top w:w="0" w:type="dxa"/>
        <w:right w:w="0" w:type="dxa"/>
        <w:bottom w:w="0" w:type="dxa"/>
      </w:tblCellMar>
    </w:tblPr>
  </w:style>
  <w:style w:type="table" w:styleId="952" w:customStyle="1">
    <w:name w:val="Bordered - Accent 1"/>
    <w:uiPriority w:val="99"/>
    <w:qFormat/>
    <w:tblPr>
      <w:tblCellMar>
        <w:left w:w="0" w:type="dxa"/>
        <w:top w:w="0" w:type="dxa"/>
        <w:right w:w="0" w:type="dxa"/>
        <w:bottom w:w="0" w:type="dxa"/>
      </w:tblCellMar>
    </w:tblPr>
  </w:style>
  <w:style w:type="table" w:styleId="953" w:customStyle="1">
    <w:name w:val="Bordered - Accent 2"/>
    <w:uiPriority w:val="99"/>
    <w:qFormat/>
    <w:tblPr>
      <w:tblCellMar>
        <w:left w:w="0" w:type="dxa"/>
        <w:top w:w="0" w:type="dxa"/>
        <w:right w:w="0" w:type="dxa"/>
        <w:bottom w:w="0" w:type="dxa"/>
      </w:tblCellMar>
    </w:tblPr>
  </w:style>
  <w:style w:type="table" w:styleId="954" w:customStyle="1">
    <w:name w:val="Bordered - Accent 3"/>
    <w:uiPriority w:val="99"/>
    <w:qFormat/>
    <w:tblPr>
      <w:tblCellMar>
        <w:left w:w="0" w:type="dxa"/>
        <w:top w:w="0" w:type="dxa"/>
        <w:right w:w="0" w:type="dxa"/>
        <w:bottom w:w="0" w:type="dxa"/>
      </w:tblCellMar>
    </w:tblPr>
  </w:style>
  <w:style w:type="table" w:styleId="955" w:customStyle="1">
    <w:name w:val="Bordered - Accent 4"/>
    <w:uiPriority w:val="99"/>
    <w:qFormat/>
    <w:tblPr>
      <w:tblCellMar>
        <w:left w:w="0" w:type="dxa"/>
        <w:top w:w="0" w:type="dxa"/>
        <w:right w:w="0" w:type="dxa"/>
        <w:bottom w:w="0" w:type="dxa"/>
      </w:tblCellMar>
    </w:tblPr>
  </w:style>
  <w:style w:type="table" w:styleId="956" w:customStyle="1">
    <w:name w:val="Bordered - Accent 5"/>
    <w:uiPriority w:val="99"/>
    <w:qFormat/>
    <w:tblPr>
      <w:tblCellMar>
        <w:left w:w="0" w:type="dxa"/>
        <w:top w:w="0" w:type="dxa"/>
        <w:right w:w="0" w:type="dxa"/>
        <w:bottom w:w="0" w:type="dxa"/>
      </w:tblCellMar>
    </w:tblPr>
  </w:style>
  <w:style w:type="table" w:styleId="957" w:customStyle="1">
    <w:name w:val="Bordered - Accent 6"/>
    <w:uiPriority w:val="99"/>
    <w:qFormat/>
    <w:tblPr>
      <w:tblCellMar>
        <w:left w:w="0" w:type="dxa"/>
        <w:top w:w="0" w:type="dxa"/>
        <w:right w:w="0" w:type="dxa"/>
        <w:bottom w:w="0" w:type="dxa"/>
      </w:tblCellMar>
    </w:tblPr>
  </w:style>
  <w:style w:type="paragraph" w:styleId="958" w:customStyle="1">
    <w:name w:val="TOC 标题11"/>
    <w:uiPriority w:val="39"/>
    <w:unhideWhenUsed/>
    <w:qFormat/>
    <w:rPr>
      <w:rFonts w:ascii="Times New Roman" w:hAnsi="Times New Roman" w:eastAsia="宋体" w:cs="Times New Roman"/>
      <w:lang w:val="en-US" w:eastAsia="zh-CN" w:bidi="ar-SA"/>
    </w:rPr>
  </w:style>
  <w:style w:type="paragraph" w:styleId="959" w:customStyle="1">
    <w:name w:val="标题 11"/>
    <w:basedOn w:val="690"/>
    <w:next w:val="690"/>
    <w:link w:val="960"/>
    <w:uiPriority w:val="0"/>
    <w:qFormat/>
    <w:pPr>
      <w:jc w:val="center"/>
      <w:keepNext/>
      <w:outlineLvl w:val="0"/>
    </w:pPr>
    <w:rPr>
      <w:rFonts w:ascii="楷体_GB2312" w:eastAsia="楷体_GB2312"/>
      <w:sz w:val="28"/>
      <w:szCs w:val="28"/>
    </w:rPr>
  </w:style>
  <w:style w:type="character" w:styleId="960" w:customStyle="1">
    <w:name w:val="标题 1 Char"/>
    <w:link w:val="959"/>
    <w:uiPriority w:val="0"/>
    <w:qFormat/>
    <w:rPr>
      <w:rFonts w:ascii="楷体_GB2312" w:hAnsi="Times New Roman" w:eastAsia="楷体_GB2312" w:cs="Times New Roman"/>
      <w:sz w:val="28"/>
      <w:szCs w:val="28"/>
    </w:rPr>
  </w:style>
  <w:style w:type="paragraph" w:styleId="961" w:customStyle="1">
    <w:name w:val="标题 21"/>
    <w:basedOn w:val="690"/>
    <w:next w:val="962"/>
    <w:link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690"/>
    <w:link w:val="964"/>
    <w:uiPriority w:val="0"/>
    <w:qFormat/>
    <w:pPr>
      <w:ind w:firstLine="420"/>
    </w:pPr>
    <w:rPr>
      <w:szCs w:val="21"/>
    </w:rPr>
  </w:style>
  <w:style w:type="character" w:styleId="963" w:customStyle="1">
    <w:name w:val="标题 2 Char"/>
    <w:link w:val="961"/>
    <w:uiPriority w:val="0"/>
    <w:qFormat/>
    <w:rPr>
      <w:rFonts w:ascii="Arial" w:hAnsi="Arial" w:eastAsia="幼圆" w:cs="Arial"/>
      <w:b/>
      <w:bCs/>
      <w:sz w:val="44"/>
      <w:szCs w:val="44"/>
    </w:rPr>
  </w:style>
  <w:style w:type="character" w:styleId="964" w:customStyle="1">
    <w:name w:val="正文缩进 Char"/>
    <w:link w:val="962"/>
    <w:uiPriority w:val="0"/>
    <w:qFormat/>
    <w:rPr>
      <w:szCs w:val="21"/>
    </w:rPr>
  </w:style>
  <w:style w:type="paragraph" w:styleId="965" w:customStyle="1">
    <w:name w:val="标题 31"/>
    <w:basedOn w:val="690"/>
    <w:next w:val="962"/>
    <w:link w:val="966"/>
    <w:uiPriority w:val="0"/>
    <w:qFormat/>
    <w:pPr>
      <w:keepLines/>
      <w:keepNext/>
      <w:spacing w:before="260" w:after="260" w:line="416" w:lineRule="auto"/>
      <w:outlineLvl w:val="2"/>
    </w:pPr>
    <w:rPr>
      <w:b/>
      <w:bCs/>
      <w:sz w:val="32"/>
      <w:szCs w:val="32"/>
    </w:rPr>
  </w:style>
  <w:style w:type="character" w:styleId="966" w:customStyle="1">
    <w:name w:val="标题 3 Char"/>
    <w:link w:val="965"/>
    <w:uiPriority w:val="0"/>
    <w:qFormat/>
    <w:rPr>
      <w:rFonts w:ascii="Times New Roman" w:hAnsi="Times New Roman" w:eastAsia="宋体" w:cs="Times New Roman"/>
      <w:b/>
      <w:bCs/>
      <w:sz w:val="32"/>
      <w:szCs w:val="32"/>
    </w:rPr>
  </w:style>
  <w:style w:type="paragraph" w:styleId="967" w:customStyle="1">
    <w:name w:val="标题 41"/>
    <w:basedOn w:val="690"/>
    <w:next w:val="962"/>
    <w:link w:val="968"/>
    <w:uiPriority w:val="0"/>
    <w:qFormat/>
    <w:pPr>
      <w:keepLines/>
      <w:keepNext/>
      <w:spacing w:before="280" w:after="290" w:line="376" w:lineRule="auto"/>
      <w:outlineLvl w:val="3"/>
    </w:pPr>
    <w:rPr>
      <w:rFonts w:ascii="Arial" w:hAnsi="Arial" w:eastAsia="黑体" w:cs="Arial"/>
      <w:b/>
      <w:bCs/>
      <w:sz w:val="28"/>
      <w:szCs w:val="28"/>
    </w:rPr>
  </w:style>
  <w:style w:type="character" w:styleId="968" w:customStyle="1">
    <w:name w:val="标题 4 Char"/>
    <w:link w:val="967"/>
    <w:uiPriority w:val="0"/>
    <w:qFormat/>
    <w:rPr>
      <w:rFonts w:ascii="Arial" w:hAnsi="Arial" w:eastAsia="黑体" w:cs="Arial"/>
      <w:b/>
      <w:bCs/>
      <w:sz w:val="28"/>
      <w:szCs w:val="28"/>
    </w:rPr>
  </w:style>
  <w:style w:type="paragraph" w:styleId="969" w:customStyle="1">
    <w:name w:val="标题 51"/>
    <w:basedOn w:val="690"/>
    <w:next w:val="962"/>
    <w:link w:val="970"/>
    <w:uiPriority w:val="0"/>
    <w:qFormat/>
    <w:pPr>
      <w:keepNext/>
      <w:outlineLvl w:val="4"/>
    </w:pPr>
    <w:rPr>
      <w:rFonts w:ascii="宋体"/>
      <w:color w:val="000000"/>
      <w:sz w:val="28"/>
      <w:szCs w:val="28"/>
    </w:rPr>
  </w:style>
  <w:style w:type="character" w:styleId="970" w:customStyle="1">
    <w:name w:val="标题 5 Char"/>
    <w:link w:val="969"/>
    <w:uiPriority w:val="0"/>
    <w:qFormat/>
    <w:rPr>
      <w:rFonts w:ascii="宋体" w:hAnsi="Times New Roman" w:eastAsia="宋体" w:cs="Times New Roman"/>
      <w:color w:val="000000"/>
      <w:sz w:val="28"/>
      <w:szCs w:val="28"/>
    </w:rPr>
  </w:style>
  <w:style w:type="paragraph" w:styleId="971" w:customStyle="1">
    <w:name w:val="标题 61"/>
    <w:basedOn w:val="690"/>
    <w:next w:val="690"/>
    <w:link w:val="97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72" w:customStyle="1">
    <w:name w:val="标题 6 Char"/>
    <w:link w:val="971"/>
    <w:uiPriority w:val="0"/>
    <w:qFormat/>
    <w:rPr>
      <w:rFonts w:ascii="Arial" w:hAnsi="Arial" w:eastAsia="黑体" w:cs="Times New Roman"/>
      <w:b/>
      <w:bCs/>
      <w:sz w:val="24"/>
      <w:szCs w:val="24"/>
    </w:rPr>
  </w:style>
  <w:style w:type="paragraph" w:styleId="973" w:customStyle="1">
    <w:name w:val="标题 71"/>
    <w:basedOn w:val="690"/>
    <w:next w:val="690"/>
    <w:link w:val="974"/>
    <w:uiPriority w:val="0"/>
    <w:qFormat/>
    <w:pPr>
      <w:numPr>
        <w:ilvl w:val="6"/>
        <w:numId w:val="1"/>
      </w:numPr>
      <w:keepLines/>
      <w:keepNext/>
      <w:spacing w:before="240" w:after="64" w:line="320" w:lineRule="auto"/>
      <w:outlineLvl w:val="6"/>
    </w:pPr>
    <w:rPr>
      <w:b/>
      <w:bCs/>
      <w:sz w:val="24"/>
      <w:szCs w:val="24"/>
    </w:rPr>
  </w:style>
  <w:style w:type="character" w:styleId="974" w:customStyle="1">
    <w:name w:val="标题 7 Char"/>
    <w:link w:val="973"/>
    <w:uiPriority w:val="0"/>
    <w:qFormat/>
    <w:rPr>
      <w:rFonts w:ascii="Times New Roman" w:hAnsi="Times New Roman" w:eastAsia="宋体" w:cs="Times New Roman"/>
      <w:b/>
      <w:bCs/>
      <w:sz w:val="24"/>
      <w:szCs w:val="24"/>
    </w:rPr>
  </w:style>
  <w:style w:type="paragraph" w:styleId="975" w:customStyle="1">
    <w:name w:val="标题 81"/>
    <w:basedOn w:val="690"/>
    <w:next w:val="690"/>
    <w:link w:val="97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76" w:customStyle="1">
    <w:name w:val="标题 8 Char"/>
    <w:link w:val="975"/>
    <w:uiPriority w:val="0"/>
    <w:qFormat/>
    <w:rPr>
      <w:rFonts w:ascii="Arial" w:hAnsi="Arial" w:eastAsia="黑体" w:cs="Times New Roman"/>
      <w:sz w:val="24"/>
      <w:szCs w:val="24"/>
    </w:rPr>
  </w:style>
  <w:style w:type="paragraph" w:styleId="977" w:customStyle="1">
    <w:name w:val="标题 91"/>
    <w:basedOn w:val="690"/>
    <w:next w:val="690"/>
    <w:link w:val="978"/>
    <w:uiPriority w:val="0"/>
    <w:qFormat/>
    <w:pPr>
      <w:numPr>
        <w:ilvl w:val="8"/>
        <w:numId w:val="1"/>
      </w:numPr>
      <w:keepLines/>
      <w:keepNext/>
      <w:spacing w:before="240" w:after="64" w:line="320" w:lineRule="auto"/>
      <w:outlineLvl w:val="8"/>
    </w:pPr>
    <w:rPr>
      <w:rFonts w:ascii="Arial" w:hAnsi="Arial" w:eastAsia="黑体"/>
      <w:szCs w:val="21"/>
    </w:rPr>
  </w:style>
  <w:style w:type="character" w:styleId="978" w:customStyle="1">
    <w:name w:val="标题 9 Char"/>
    <w:link w:val="977"/>
    <w:uiPriority w:val="0"/>
    <w:qFormat/>
    <w:rPr>
      <w:rFonts w:ascii="Arial" w:hAnsi="Arial" w:eastAsia="黑体" w:cs="Times New Roman"/>
      <w:szCs w:val="21"/>
    </w:rPr>
  </w:style>
  <w:style w:type="character" w:styleId="979" w:customStyle="1">
    <w:name w:val="默认段落字体1"/>
    <w:uiPriority w:val="1"/>
    <w:unhideWhenUsed/>
    <w:qFormat/>
  </w:style>
  <w:style w:type="table" w:styleId="980" w:customStyle="1">
    <w:name w:val="普通表格11"/>
    <w:uiPriority w:val="99"/>
    <w:unhideWhenUsed/>
    <w:qFormat/>
    <w:tblPr>
      <w:tblCellMar>
        <w:left w:w="0" w:type="dxa"/>
        <w:top w:w="0" w:type="dxa"/>
        <w:right w:w="0" w:type="dxa"/>
        <w:bottom w:w="0" w:type="dxa"/>
      </w:tblCellMar>
    </w:tblPr>
  </w:style>
  <w:style w:type="paragraph" w:styleId="981" w:customStyle="1">
    <w:name w:val="列表 31"/>
    <w:basedOn w:val="690"/>
    <w:uiPriority w:val="0"/>
    <w:qFormat/>
    <w:pPr>
      <w:ind w:left="100" w:hanging="200"/>
    </w:pPr>
    <w:rPr>
      <w:szCs w:val="21"/>
    </w:rPr>
  </w:style>
  <w:style w:type="paragraph" w:styleId="982" w:customStyle="1">
    <w:name w:val="目录 71"/>
    <w:basedOn w:val="690"/>
    <w:next w:val="690"/>
    <w:uiPriority w:val="0"/>
    <w:semiHidden/>
    <w:qFormat/>
    <w:pPr>
      <w:ind w:left="1260"/>
      <w:jc w:val="left"/>
    </w:pPr>
    <w:rPr>
      <w:szCs w:val="21"/>
    </w:rPr>
  </w:style>
  <w:style w:type="paragraph" w:styleId="983" w:customStyle="1">
    <w:name w:val="文档结构图1"/>
    <w:basedOn w:val="690"/>
    <w:link w:val="984"/>
    <w:uiPriority w:val="0"/>
    <w:semiHidden/>
    <w:qFormat/>
    <w:pPr>
      <w:shd w:val="clear" w:color="auto" w:fill="000080"/>
    </w:pPr>
    <w:rPr>
      <w:szCs w:val="21"/>
    </w:rPr>
  </w:style>
  <w:style w:type="character" w:styleId="984" w:customStyle="1">
    <w:name w:val="文档结构图 Char"/>
    <w:link w:val="983"/>
    <w:uiPriority w:val="0"/>
    <w:semiHidden/>
    <w:qFormat/>
    <w:rPr>
      <w:rFonts w:ascii="Times New Roman" w:hAnsi="Times New Roman" w:eastAsia="宋体" w:cs="Times New Roman"/>
      <w:szCs w:val="21"/>
      <w:shd w:val="clear" w:color="auto" w:fill="000080"/>
    </w:rPr>
  </w:style>
  <w:style w:type="paragraph" w:styleId="985" w:customStyle="1">
    <w:name w:val="批注文字1"/>
    <w:basedOn w:val="690"/>
    <w:link w:val="986"/>
    <w:uiPriority w:val="0"/>
    <w:unhideWhenUsed/>
    <w:qFormat/>
    <w:pPr>
      <w:jc w:val="left"/>
    </w:pPr>
  </w:style>
  <w:style w:type="character" w:styleId="986" w:customStyle="1">
    <w:name w:val="批注文字 Char"/>
    <w:link w:val="985"/>
    <w:uiPriority w:val="99"/>
    <w:semiHidden/>
    <w:qFormat/>
  </w:style>
  <w:style w:type="paragraph" w:styleId="987" w:customStyle="1">
    <w:name w:val="正文文本 31"/>
    <w:basedOn w:val="690"/>
    <w:link w:val="988"/>
    <w:uiPriority w:val="0"/>
    <w:qFormat/>
    <w:rPr>
      <w:rFonts w:ascii="仿宋_GB2312" w:hAnsi="Arial" w:eastAsia="仿宋_GB2312"/>
      <w:sz w:val="32"/>
      <w:szCs w:val="32"/>
    </w:rPr>
  </w:style>
  <w:style w:type="character" w:styleId="988" w:customStyle="1">
    <w:name w:val="正文文本 3 Char"/>
    <w:link w:val="987"/>
    <w:uiPriority w:val="0"/>
    <w:qFormat/>
    <w:rPr>
      <w:rFonts w:ascii="仿宋_GB2312" w:hAnsi="Arial" w:eastAsia="仿宋_GB2312" w:cs="Times New Roman"/>
      <w:sz w:val="32"/>
      <w:szCs w:val="32"/>
    </w:rPr>
  </w:style>
  <w:style w:type="paragraph" w:styleId="989" w:customStyle="1">
    <w:name w:val="正文文本11"/>
    <w:basedOn w:val="690"/>
    <w:link w:val="990"/>
    <w:uiPriority w:val="0"/>
    <w:qFormat/>
    <w:rPr>
      <w:rFonts w:ascii="楷体_GB2312" w:hAnsi="Arial" w:eastAsia="楷体_GB2312"/>
      <w:sz w:val="28"/>
      <w:szCs w:val="28"/>
    </w:rPr>
  </w:style>
  <w:style w:type="character" w:styleId="990" w:customStyle="1">
    <w:name w:val="正文文本 Char"/>
    <w:link w:val="989"/>
    <w:uiPriority w:val="0"/>
    <w:qFormat/>
    <w:rPr>
      <w:rFonts w:ascii="楷体_GB2312" w:hAnsi="Arial" w:eastAsia="楷体_GB2312" w:cs="Times New Roman"/>
      <w:sz w:val="28"/>
      <w:szCs w:val="28"/>
    </w:rPr>
  </w:style>
  <w:style w:type="paragraph" w:styleId="991" w:customStyle="1">
    <w:name w:val="正文文本缩进11"/>
    <w:basedOn w:val="690"/>
    <w:next w:val="992"/>
    <w:link w:val="993"/>
    <w:uiPriority w:val="0"/>
    <w:unhideWhenUsed/>
    <w:qFormat/>
    <w:pPr>
      <w:ind w:left="420"/>
      <w:spacing w:after="120"/>
    </w:pPr>
  </w:style>
  <w:style w:type="paragraph" w:styleId="992" w:customStyle="1">
    <w:name w:val="寄信人地址1"/>
    <w:basedOn w:val="690"/>
    <w:uiPriority w:val="0"/>
    <w:qFormat/>
    <w:rPr>
      <w:rFonts w:ascii="Arial" w:hAnsi="Arial" w:cs="宋体"/>
    </w:rPr>
  </w:style>
  <w:style w:type="character" w:styleId="993" w:customStyle="1">
    <w:name w:val="正文文本缩进 Char"/>
    <w:link w:val="991"/>
    <w:uiPriority w:val="99"/>
    <w:semiHidden/>
    <w:qFormat/>
  </w:style>
  <w:style w:type="paragraph" w:styleId="994" w:customStyle="1">
    <w:name w:val="列表 21"/>
    <w:basedOn w:val="690"/>
    <w:uiPriority w:val="0"/>
    <w:qFormat/>
    <w:pPr>
      <w:ind w:left="100" w:hanging="200"/>
    </w:pPr>
    <w:rPr>
      <w:szCs w:val="21"/>
    </w:rPr>
  </w:style>
  <w:style w:type="paragraph" w:styleId="995" w:customStyle="1">
    <w:name w:val="目录 51"/>
    <w:basedOn w:val="690"/>
    <w:next w:val="690"/>
    <w:uiPriority w:val="0"/>
    <w:semiHidden/>
    <w:qFormat/>
    <w:pPr>
      <w:ind w:left="840"/>
      <w:jc w:val="left"/>
    </w:pPr>
    <w:rPr>
      <w:szCs w:val="21"/>
    </w:rPr>
  </w:style>
  <w:style w:type="paragraph" w:styleId="996" w:customStyle="1">
    <w:name w:val="目录 31"/>
    <w:basedOn w:val="690"/>
    <w:next w:val="690"/>
    <w:uiPriority w:val="0"/>
    <w:semiHidden/>
    <w:qFormat/>
    <w:pPr>
      <w:ind w:left="420"/>
      <w:jc w:val="left"/>
    </w:pPr>
    <w:rPr>
      <w:i/>
      <w:iCs/>
      <w:szCs w:val="24"/>
    </w:rPr>
  </w:style>
  <w:style w:type="paragraph" w:styleId="997" w:customStyle="1">
    <w:name w:val="纯文本2"/>
    <w:basedOn w:val="690"/>
    <w:link w:val="998"/>
    <w:uiPriority w:val="0"/>
    <w:qFormat/>
    <w:rPr>
      <w:rFonts w:ascii="宋体" w:hAnsi="Courier New" w:cs="Courier New"/>
      <w:szCs w:val="21"/>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690"/>
    <w:next w:val="690"/>
    <w:uiPriority w:val="0"/>
    <w:semiHidden/>
    <w:qFormat/>
    <w:pPr>
      <w:ind w:left="1470"/>
      <w:jc w:val="left"/>
    </w:pPr>
    <w:rPr>
      <w:szCs w:val="21"/>
    </w:rPr>
  </w:style>
  <w:style w:type="paragraph" w:styleId="1000" w:customStyle="1">
    <w:name w:val="日期1"/>
    <w:basedOn w:val="690"/>
    <w:next w:val="690"/>
    <w:link w:val="1001"/>
    <w:uiPriority w:val="0"/>
    <w:qFormat/>
    <w:rPr>
      <w:sz w:val="24"/>
      <w:szCs w:val="24"/>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690"/>
    <w:link w:val="1003"/>
    <w:uiPriority w:val="0"/>
    <w:qFormat/>
    <w:pPr>
      <w:ind w:left="630" w:firstLine="645"/>
    </w:pPr>
    <w:rPr>
      <w:rFonts w:ascii="Arial" w:hAnsi="Arial" w:eastAsia="仿宋_GB2312" w:cs="Arial"/>
      <w:sz w:val="32"/>
      <w:szCs w:val="32"/>
    </w:rPr>
  </w:style>
  <w:style w:type="character" w:styleId="1003" w:customStyle="1">
    <w:name w:val="正文文本缩进 2 Char"/>
    <w:link w:val="1002"/>
    <w:uiPriority w:val="0"/>
    <w:qFormat/>
    <w:rPr>
      <w:rFonts w:ascii="Arial" w:hAnsi="Arial" w:eastAsia="仿宋_GB2312" w:cs="Arial"/>
      <w:sz w:val="32"/>
      <w:szCs w:val="32"/>
    </w:rPr>
  </w:style>
  <w:style w:type="paragraph" w:styleId="1004" w:customStyle="1">
    <w:name w:val="批注框文本1"/>
    <w:basedOn w:val="690"/>
    <w:link w:val="1005"/>
    <w:uiPriority w:val="0"/>
    <w:semiHidden/>
    <w:qFormat/>
    <w:rPr>
      <w:sz w:val="18"/>
      <w:szCs w:val="18"/>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690"/>
    <w:link w:val="1007"/>
    <w:uiPriority w:val="0"/>
    <w:qFormat/>
    <w:pPr>
      <w:jc w:val="left"/>
      <w:tabs>
        <w:tab w:val="center" w:pos="4153" w:leader="none"/>
        <w:tab w:val="right" w:pos="8306" w:leader="none"/>
      </w:tabs>
    </w:pPr>
    <w:rPr>
      <w:sz w:val="18"/>
      <w:szCs w:val="18"/>
    </w:rPr>
  </w:style>
  <w:style w:type="character" w:styleId="1007" w:customStyle="1">
    <w:name w:val="页脚 Char"/>
    <w:link w:val="1006"/>
    <w:uiPriority w:val="0"/>
    <w:qFormat/>
    <w:rPr>
      <w:rFonts w:ascii="Times New Roman" w:hAnsi="Times New Roman" w:eastAsia="宋体" w:cs="Times New Roman"/>
      <w:sz w:val="18"/>
      <w:szCs w:val="18"/>
    </w:rPr>
  </w:style>
  <w:style w:type="paragraph" w:styleId="1008" w:customStyle="1">
    <w:name w:val="页眉1"/>
    <w:basedOn w:val="690"/>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rFonts w:ascii="Times New Roman" w:hAnsi="Times New Roman" w:eastAsia="宋体" w:cs="Times New Roman"/>
      <w:sz w:val="18"/>
      <w:szCs w:val="18"/>
    </w:rPr>
  </w:style>
  <w:style w:type="paragraph" w:styleId="1010"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690"/>
    <w:next w:val="690"/>
    <w:uiPriority w:val="0"/>
    <w:semiHidden/>
    <w:qFormat/>
    <w:pPr>
      <w:ind w:left="630"/>
      <w:jc w:val="left"/>
    </w:pPr>
    <w:rPr>
      <w:szCs w:val="21"/>
    </w:rPr>
  </w:style>
  <w:style w:type="paragraph" w:styleId="1012" w:customStyle="1">
    <w:name w:val="列表1"/>
    <w:basedOn w:val="690"/>
    <w:uiPriority w:val="0"/>
    <w:qFormat/>
    <w:pPr>
      <w:ind w:left="200" w:hanging="200"/>
    </w:pPr>
    <w:rPr>
      <w:szCs w:val="21"/>
    </w:rPr>
  </w:style>
  <w:style w:type="paragraph" w:styleId="1013" w:customStyle="1">
    <w:name w:val="目录 61"/>
    <w:basedOn w:val="690"/>
    <w:next w:val="690"/>
    <w:uiPriority w:val="0"/>
    <w:semiHidden/>
    <w:qFormat/>
    <w:pPr>
      <w:ind w:left="1050"/>
      <w:jc w:val="left"/>
    </w:pPr>
    <w:rPr>
      <w:szCs w:val="21"/>
    </w:rPr>
  </w:style>
  <w:style w:type="paragraph" w:styleId="1014" w:customStyle="1">
    <w:name w:val="正文文本缩进 31"/>
    <w:basedOn w:val="690"/>
    <w:link w:val="1015"/>
    <w:uiPriority w:val="0"/>
    <w:qFormat/>
    <w:pPr>
      <w:ind w:left="645" w:firstLine="645"/>
    </w:pPr>
    <w:rPr>
      <w:rFonts w:ascii="Arial" w:hAnsi="Arial" w:eastAsia="仿宋_GB2312" w:cs="Arial"/>
      <w:color w:val="ffff00"/>
      <w:sz w:val="32"/>
      <w:szCs w:val="32"/>
    </w:rPr>
  </w:style>
  <w:style w:type="character" w:styleId="1015" w:customStyle="1">
    <w:name w:val="正文文本缩进 3 Char"/>
    <w:link w:val="1014"/>
    <w:uiPriority w:val="0"/>
    <w:qFormat/>
    <w:rPr>
      <w:rFonts w:ascii="Arial" w:hAnsi="Arial" w:eastAsia="仿宋_GB2312" w:cs="Arial"/>
      <w:color w:val="ffff00"/>
      <w:sz w:val="32"/>
      <w:szCs w:val="32"/>
    </w:rPr>
  </w:style>
  <w:style w:type="paragraph" w:styleId="1016" w:customStyle="1">
    <w:name w:val="图表目录1"/>
    <w:basedOn w:val="690"/>
    <w:next w:val="690"/>
    <w:uiPriority w:val="0"/>
    <w:semiHidden/>
    <w:qFormat/>
    <w:pPr>
      <w:ind w:left="840" w:hanging="420"/>
    </w:pPr>
    <w:rPr>
      <w:szCs w:val="21"/>
    </w:rPr>
  </w:style>
  <w:style w:type="paragraph" w:styleId="1017" w:customStyle="1">
    <w:name w:val="目录 21"/>
    <w:basedOn w:val="690"/>
    <w:next w:val="690"/>
    <w:uiPriority w:val="0"/>
    <w:semiHidden/>
    <w:qFormat/>
    <w:pPr>
      <w:ind w:left="210"/>
      <w:jc w:val="left"/>
    </w:pPr>
    <w:rPr>
      <w:smallCaps/>
      <w:szCs w:val="24"/>
    </w:rPr>
  </w:style>
  <w:style w:type="paragraph" w:styleId="1018" w:customStyle="1">
    <w:name w:val="目录 91"/>
    <w:basedOn w:val="690"/>
    <w:next w:val="690"/>
    <w:uiPriority w:val="0"/>
    <w:semiHidden/>
    <w:qFormat/>
    <w:pPr>
      <w:ind w:left="1680"/>
      <w:jc w:val="left"/>
    </w:pPr>
    <w:rPr>
      <w:szCs w:val="21"/>
    </w:rPr>
  </w:style>
  <w:style w:type="paragraph" w:styleId="1019" w:customStyle="1">
    <w:name w:val="正文文本 21"/>
    <w:basedOn w:val="690"/>
    <w:link w:val="1020"/>
    <w:uiPriority w:val="0"/>
    <w:qFormat/>
    <w:pPr>
      <w:jc w:val="center"/>
      <w:widowControl/>
    </w:pPr>
    <w:rPr>
      <w:rFonts w:ascii="楷体_GB2312" w:eastAsia="楷体_GB2312"/>
      <w:sz w:val="28"/>
      <w:szCs w:val="28"/>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690"/>
    <w:next w:val="690"/>
    <w:uiPriority w:val="0"/>
    <w:semiHidden/>
    <w:qFormat/>
    <w:pPr>
      <w:spacing w:line="240" w:lineRule="atLeast"/>
    </w:pPr>
    <w:rPr>
      <w:b/>
      <w:bCs/>
      <w:szCs w:val="21"/>
    </w:rPr>
  </w:style>
  <w:style w:type="paragraph" w:styleId="1023" w:customStyle="1">
    <w:name w:val="批注主题1"/>
    <w:basedOn w:val="985"/>
    <w:next w:val="985"/>
    <w:link w:val="1024"/>
    <w:uiPriority w:val="0"/>
    <w:semiHidden/>
    <w:qFormat/>
    <w:rPr>
      <w:b/>
      <w:bCs/>
      <w:szCs w:val="21"/>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
    <w:basedOn w:val="690"/>
    <w:link w:val="1026"/>
    <w:uiPriority w:val="0"/>
    <w:qFormat/>
    <w:pPr>
      <w:ind w:firstLine="200"/>
      <w:spacing w:line="360" w:lineRule="auto"/>
    </w:pPr>
    <w:rPr>
      <w:rFonts w:ascii="仿宋_GB2312" w:eastAsia="仿宋_GB2312"/>
      <w:sz w:val="30"/>
      <w:szCs w:val="30"/>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991"/>
    <w:next w:val="690"/>
    <w:link w:val="1028"/>
    <w:uiPriority w:val="0"/>
    <w:qFormat/>
    <w:pPr>
      <w:ind w:left="0" w:firstLine="420"/>
      <w:spacing w:after="0" w:line="360" w:lineRule="auto"/>
    </w:pPr>
    <w:rPr>
      <w:rFonts w:ascii="宋体" w:hAnsi="宋体"/>
      <w:szCs w:val="20"/>
    </w:rPr>
  </w:style>
  <w:style w:type="character" w:styleId="1028" w:customStyle="1">
    <w:name w:val="正文首行缩进 2 Char"/>
    <w:link w:val="1027"/>
    <w:uiPriority w:val="0"/>
    <w:qFormat/>
    <w:rPr>
      <w:rFonts w:ascii="宋体" w:hAnsi="宋体" w:eastAsia="宋体" w:cs="Times New Roman"/>
      <w:szCs w:val="20"/>
    </w:rPr>
  </w:style>
  <w:style w:type="table" w:styleId="1029" w:customStyle="1">
    <w:name w:val="网格型11"/>
    <w:basedOn w:val="980"/>
    <w:uiPriority w:val="0"/>
    <w:qFormat/>
    <w:pPr>
      <w:jc w:val="both"/>
      <w:widowControl w:val="off"/>
    </w:pPr>
    <w:tblPr/>
  </w:style>
  <w:style w:type="character" w:styleId="1030" w:customStyle="1">
    <w:name w:val="要点1"/>
    <w:uiPriority w:val="0"/>
    <w:qFormat/>
    <w:rPr>
      <w:b/>
      <w:bCs/>
    </w:rPr>
  </w:style>
  <w:style w:type="character" w:styleId="1031" w:customStyle="1">
    <w:name w:val="页码1"/>
    <w:uiPriority w:val="0"/>
    <w:qFormat/>
  </w:style>
  <w:style w:type="character" w:styleId="1032" w:customStyle="1">
    <w:name w:val="已访问的超链接1"/>
    <w:uiPriority w:val="0"/>
    <w:qFormat/>
    <w:rPr>
      <w:color w:val="800080"/>
      <w:u w:val="single"/>
    </w:rPr>
  </w:style>
  <w:style w:type="character" w:styleId="1033" w:customStyle="1">
    <w:name w:val="超链接1"/>
    <w:uiPriority w:val="0"/>
    <w:qFormat/>
    <w:rPr>
      <w:color w:val="0000ff"/>
      <w:u w:val="single"/>
    </w:rPr>
  </w:style>
  <w:style w:type="character" w:styleId="1034" w:customStyle="1">
    <w:name w:val="批注引用1"/>
    <w:uiPriority w:val="0"/>
    <w:semiHidden/>
    <w:qFormat/>
    <w:rPr>
      <w:sz w:val="21"/>
      <w:szCs w:val="21"/>
    </w:rPr>
  </w:style>
  <w:style w:type="character" w:styleId="1035" w:customStyle="1">
    <w:name w:val="font5 Char"/>
    <w:uiPriority w:val="0"/>
    <w:qFormat/>
    <w:rPr>
      <w:rFonts w:ascii="宋体" w:hAnsi="宋体" w:eastAsia="宋体"/>
      <w:sz w:val="28"/>
      <w:szCs w:val="28"/>
      <w:lang w:val="en-US" w:eastAsia="zh-CN" w:bidi="ar-SA"/>
    </w:rPr>
  </w:style>
  <w:style w:type="character" w:styleId="1036" w:customStyle="1">
    <w:name w:val="二级目录 Char"/>
    <w:link w:val="1037"/>
    <w:uiPriority w:val="0"/>
    <w:qFormat/>
    <w:rPr>
      <w:b/>
      <w:sz w:val="30"/>
      <w:szCs w:val="28"/>
    </w:rPr>
  </w:style>
  <w:style w:type="paragraph" w:styleId="1037" w:customStyle="1">
    <w:name w:val="二级目录"/>
    <w:next w:val="690"/>
    <w:link w:val="103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8" w:customStyle="1">
    <w:name w:val="列出段落 Char"/>
    <w:link w:val="1039"/>
    <w:uiPriority w:val="0"/>
    <w:qFormat/>
    <w:rPr>
      <w:rFonts w:ascii="Calibri" w:hAnsi="Calibri"/>
      <w:sz w:val="24"/>
      <w:szCs w:val="24"/>
      <w:lang w:eastAsia="en-US" w:bidi="en-US"/>
    </w:rPr>
  </w:style>
  <w:style w:type="paragraph" w:styleId="1039" w:customStyle="1">
    <w:name w:val="列出段落1"/>
    <w:basedOn w:val="690"/>
    <w:link w:val="1038"/>
    <w:uiPriority w:val="0"/>
    <w:qFormat/>
    <w:pPr>
      <w:contextualSpacing/>
      <w:ind w:left="720"/>
      <w:jc w:val="left"/>
      <w:widowControl/>
    </w:pPr>
    <w:rPr>
      <w:rFonts w:ascii="Calibri" w:hAnsi="Calibri"/>
      <w:sz w:val="24"/>
      <w:szCs w:val="24"/>
      <w:lang w:eastAsia="en-US" w:bidi="en-US"/>
    </w:rPr>
  </w:style>
  <w:style w:type="paragraph" w:styleId="1040" w:customStyle="1">
    <w:name w:val="Body Text(ch)"/>
    <w:basedOn w:val="690"/>
    <w:next w:val="989"/>
    <w:uiPriority w:val="0"/>
    <w:qFormat/>
    <w:pPr>
      <w:spacing w:after="120"/>
    </w:pPr>
    <w:rPr>
      <w:rFonts w:ascii="宋体" w:hAnsi="Arial"/>
      <w:bCs/>
      <w:iCs/>
      <w:szCs w:val="24"/>
    </w:rPr>
  </w:style>
  <w:style w:type="paragraph" w:styleId="1041"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customStyle="1">
    <w:name w:val="Char"/>
    <w:basedOn w:val="690"/>
    <w:uiPriority w:val="0"/>
    <w:qFormat/>
    <w:pPr>
      <w:ind w:firstLine="200"/>
      <w:tabs>
        <w:tab w:val="left" w:pos="360" w:leader="none"/>
      </w:tabs>
    </w:pPr>
    <w:rPr>
      <w:sz w:val="28"/>
      <w:szCs w:val="30"/>
    </w:rPr>
  </w:style>
  <w:style w:type="paragraph" w:styleId="1044" w:customStyle="1">
    <w:name w:val="Char1"/>
    <w:basedOn w:val="983"/>
    <w:uiPriority w:val="0"/>
    <w:qFormat/>
    <w:rPr>
      <w:rFonts w:ascii="Tahoma" w:hAnsi="Tahoma"/>
      <w:sz w:val="24"/>
      <w:szCs w:val="24"/>
    </w:rPr>
  </w:style>
  <w:style w:type="paragraph" w:styleId="1045"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1046" w:customStyle="1">
    <w:name w:val="table_lines"/>
    <w:basedOn w:val="690"/>
    <w:uiPriority w:val="0"/>
    <w:qFormat/>
    <w:pPr>
      <w:jc w:val="left"/>
      <w:widowControl/>
    </w:pPr>
    <w:rPr>
      <w:sz w:val="20"/>
      <w:szCs w:val="20"/>
      <w:lang w:val="de-DE" w:eastAsia="de-DE"/>
    </w:rPr>
  </w:style>
  <w:style w:type="paragraph" w:styleId="104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8"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Char Char Char Char"/>
    <w:basedOn w:val="983"/>
    <w:uiPriority w:val="0"/>
    <w:qFormat/>
    <w:pPr>
      <w:spacing w:line="360" w:lineRule="auto"/>
    </w:pPr>
    <w:rPr>
      <w:rFonts w:ascii="Tahoma" w:hAnsi="Tahoma"/>
      <w:sz w:val="24"/>
      <w:szCs w:val="24"/>
    </w:rPr>
  </w:style>
  <w:style w:type="paragraph" w:styleId="1050" w:customStyle="1">
    <w:name w:val="列出段落2"/>
    <w:basedOn w:val="690"/>
    <w:uiPriority w:val="0"/>
    <w:qFormat/>
    <w:pPr>
      <w:contextualSpacing/>
      <w:ind w:left="720"/>
      <w:jc w:val="left"/>
      <w:widowControl/>
    </w:pPr>
    <w:rPr>
      <w:rFonts w:ascii="Calibri" w:hAnsi="Calibri"/>
      <w:sz w:val="24"/>
      <w:szCs w:val="24"/>
      <w:lang w:eastAsia="en-US" w:bidi="en-US"/>
    </w:rPr>
  </w:style>
  <w:style w:type="paragraph" w:styleId="1051" w:customStyle="1">
    <w:name w:val="4"/>
    <w:basedOn w:val="690"/>
    <w:next w:val="1014"/>
    <w:uiPriority w:val="0"/>
    <w:qFormat/>
    <w:pPr>
      <w:ind w:firstLine="420"/>
      <w:spacing w:line="360" w:lineRule="auto"/>
    </w:pPr>
    <w:rPr>
      <w:color w:val="ff0000"/>
      <w:sz w:val="24"/>
      <w:szCs w:val="24"/>
    </w:rPr>
  </w:style>
  <w:style w:type="paragraph" w:styleId="1052"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1053" w:customStyle="1">
    <w:name w:val="Char Char Char Char Char Char Char Char Char Char"/>
    <w:basedOn w:val="690"/>
    <w:uiPriority w:val="0"/>
    <w:qFormat/>
    <w:pPr>
      <w:spacing w:line="360" w:lineRule="auto"/>
    </w:pPr>
    <w:rPr>
      <w:sz w:val="24"/>
      <w:szCs w:val="20"/>
    </w:rPr>
  </w:style>
  <w:style w:type="paragraph" w:styleId="1054" w:customStyle="1">
    <w:name w:val="样式1"/>
    <w:basedOn w:val="690"/>
    <w:uiPriority w:val="0"/>
    <w:qFormat/>
    <w:pPr>
      <w:numPr>
        <w:ilvl w:val="0"/>
        <w:numId w:val="3"/>
      </w:numPr>
    </w:pPr>
    <w:rPr>
      <w:rFonts w:ascii="宋体" w:hAnsi="宋体"/>
      <w:szCs w:val="21"/>
    </w:rPr>
  </w:style>
  <w:style w:type="paragraph" w:styleId="1055"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1056"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1059"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62"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1064"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1065" w:customStyle="1">
    <w:name w:val="Char Char Char Char1"/>
    <w:basedOn w:val="983"/>
    <w:uiPriority w:val="0"/>
    <w:qFormat/>
    <w:pPr>
      <w:spacing w:line="360" w:lineRule="auto"/>
    </w:pPr>
    <w:rPr>
      <w:rFonts w:ascii="Tahoma" w:hAnsi="Tahoma"/>
      <w:sz w:val="24"/>
      <w:szCs w:val="24"/>
    </w:rPr>
  </w:style>
  <w:style w:type="paragraph" w:styleId="1066" w:customStyle="1">
    <w:name w:val="table_1stline"/>
    <w:basedOn w:val="690"/>
    <w:uiPriority w:val="0"/>
    <w:qFormat/>
    <w:pPr>
      <w:jc w:val="left"/>
      <w:spacing w:before="120"/>
      <w:widowControl/>
    </w:pPr>
    <w:rPr>
      <w:bCs/>
      <w:sz w:val="20"/>
      <w:szCs w:val="20"/>
      <w:lang w:val="de-DE" w:eastAsia="de-DE"/>
    </w:rPr>
  </w:style>
  <w:style w:type="paragraph" w:styleId="1067"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1068"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customStyle="1">
    <w:name w:val="修订1"/>
    <w:uiPriority w:val="99"/>
    <w:semiHidden/>
    <w:qFormat/>
    <w:rPr>
      <w:rFonts w:ascii="Times New Roman" w:hAnsi="Times New Roman" w:eastAsia="宋体" w:cs="Times New Roman"/>
      <w:sz w:val="21"/>
      <w:szCs w:val="21"/>
      <w:lang w:val="en-US" w:eastAsia="zh-CN" w:bidi="ar-SA"/>
    </w:rPr>
  </w:style>
  <w:style w:type="paragraph" w:styleId="1070"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table" w:styleId="1071" w:customStyle="1">
    <w:name w:val="Table Normal"/>
    <w:uiPriority w:val="0"/>
    <w:qFormat/>
    <w:tblPr>
      <w:tblCellMar>
        <w:left w:w="0" w:type="dxa"/>
        <w:top w:w="0" w:type="dxa"/>
        <w:right w:w="0" w:type="dxa"/>
        <w:bottom w:w="0" w:type="dxa"/>
      </w:tblCellMar>
    </w:tblPr>
  </w:style>
  <w:style w:type="paragraph" w:styleId="1072" w:customStyle="1">
    <w:name w:val="正文文本12"/>
    <w:basedOn w:val="690"/>
    <w:uiPriority w:val="1"/>
    <w:qFormat/>
    <w:pPr>
      <w:ind w:left="120"/>
    </w:pPr>
    <w:rPr>
      <w:rFonts w:ascii="宋体" w:hAnsi="宋体" w:cs="宋体"/>
      <w:szCs w:val="21"/>
      <w:lang w:val="zh-CN" w:bidi="zh-CN"/>
    </w:rPr>
  </w:style>
  <w:style w:type="paragraph" w:styleId="1073" w:customStyle="1">
    <w:name w:val="正文文本 211"/>
    <w:basedOn w:val="690"/>
    <w:uiPriority w:val="99"/>
    <w:qFormat/>
    <w:pPr>
      <w:jc w:val="center"/>
    </w:pPr>
    <w:rPr>
      <w:b/>
      <w:bCs/>
      <w:sz w:val="20"/>
      <w:szCs w:val="20"/>
    </w:rPr>
  </w:style>
  <w:style w:type="paragraph" w:styleId="1074" w:customStyle="1">
    <w:name w:val="正文文本1"/>
    <w:basedOn w:val="690"/>
    <w:next w:val="690"/>
    <w:uiPriority w:val="0"/>
    <w:semiHidden/>
    <w:qFormat/>
    <w:rPr>
      <w:rFonts w:ascii="Arial" w:hAnsi="Arial" w:eastAsia="Arial" w:cs="Arial"/>
      <w:szCs w:val="21"/>
      <w:lang w:eastAsia="en-US"/>
    </w:rPr>
  </w:style>
  <w:style w:type="paragraph" w:styleId="1075" w:customStyle="1">
    <w:name w:val="Table Paragraph"/>
    <w:basedOn w:val="690"/>
    <w:uiPriority w:val="1"/>
    <w:qFormat/>
    <w:pPr>
      <w:jc w:val="left"/>
    </w:pPr>
    <w:rPr>
      <w:rFonts w:ascii="宋体" w:hAnsi="宋体" w:cs="宋体"/>
      <w:sz w:val="22"/>
      <w:lang w:val="zh-CN" w:bidi="zh-CN"/>
    </w:rPr>
  </w:style>
  <w:style w:type="table" w:styleId="1076" w:customStyle="1">
    <w:name w:val="网格型1"/>
    <w:basedOn w:val="1077"/>
    <w:uiPriority w:val="0"/>
    <w:qFormat/>
    <w:pPr>
      <w:jc w:val="both"/>
      <w:widowControl w:val="off"/>
    </w:pPr>
    <w:tblPr/>
  </w:style>
  <w:style w:type="table" w:styleId="1077" w:customStyle="1">
    <w:name w:val="普通表格1"/>
    <w:uiPriority w:val="99"/>
    <w:unhideWhenUsed/>
    <w:qFormat/>
    <w:tblPr>
      <w:tblCellMar>
        <w:left w:w="0" w:type="dxa"/>
        <w:top w:w="0" w:type="dxa"/>
        <w:right w:w="0" w:type="dxa"/>
        <w:bottom w:w="0" w:type="dxa"/>
      </w:tblCellMar>
    </w:tblPr>
  </w:style>
  <w:style w:type="paragraph" w:styleId="1078" w:customStyle="1">
    <w:name w:val="正文文本缩进1"/>
    <w:basedOn w:val="690"/>
    <w:next w:val="1079"/>
    <w:uiPriority w:val="0"/>
    <w:unhideWhenUsed/>
    <w:qFormat/>
    <w:pPr>
      <w:ind w:left="420"/>
      <w:spacing w:after="120"/>
    </w:pPr>
  </w:style>
  <w:style w:type="paragraph" w:styleId="1079" w:customStyle="1">
    <w:name w:val="正文文本首行缩进 21"/>
    <w:basedOn w:val="1078"/>
    <w:uiPriority w:val="0"/>
    <w:qFormat/>
    <w:pPr>
      <w:ind w:left="0" w:firstLine="420"/>
      <w:spacing w:after="0" w:line="360" w:lineRule="auto"/>
    </w:pPr>
    <w:rPr>
      <w:rFonts w:ascii="宋体" w:hAnsi="宋体"/>
      <w:sz w:val="20"/>
      <w:szCs w:val="20"/>
      <w:lang w:eastAsia="en-US"/>
    </w:rPr>
  </w:style>
  <w:style w:type="table" w:styleId="1080" w:customStyle="1">
    <w:name w:val="Table Normal_0"/>
    <w:uiPriority w:val="0"/>
    <w:qFormat/>
    <w:tblPr>
      <w:tblCellMar>
        <w:left w:w="0" w:type="dxa"/>
        <w:top w:w="0" w:type="dxa"/>
        <w:right w:w="0" w:type="dxa"/>
        <w:bottom w:w="0" w:type="dxa"/>
      </w:tblCellMar>
    </w:tblPr>
  </w:style>
  <w:style w:type="paragraph" w:styleId="1081" w:customStyle="1">
    <w:name w:val="修订2"/>
    <w:uiPriority w:val="99"/>
    <w:semiHidden/>
    <w:qFormat/>
    <w:rPr>
      <w:rFonts w:ascii="Times New Roman" w:hAnsi="Times New Roman" w:eastAsia="宋体" w:cs="Times New Roman"/>
      <w:sz w:val="21"/>
      <w:szCs w:val="22"/>
      <w:lang w:val="en-US" w:eastAsia="zh-CN" w:bidi="ar-SA"/>
    </w:rPr>
  </w:style>
  <w:style w:type="paragraph" w:styleId="1082" w:customStyle="1">
    <w:name w:val="修订3"/>
    <w:uiPriority w:val="99"/>
    <w:unhideWhenUsed/>
    <w:qFormat/>
    <w:rPr>
      <w:rFonts w:ascii="Times New Roman" w:hAnsi="Times New Roman" w:eastAsia="宋体" w:cs="Times New Roman"/>
      <w:sz w:val="21"/>
      <w:szCs w:val="22"/>
      <w:lang w:val="en-US" w:eastAsia="zh-CN" w:bidi="ar-SA"/>
    </w:rPr>
  </w:style>
  <w:style w:type="character" w:styleId="1083" w:customStyle="1">
    <w:name w:val="批注文字 字符1"/>
    <w:basedOn w:val="700"/>
    <w:link w:val="705"/>
    <w:uiPriority w:val="99"/>
    <w:semiHidden/>
    <w:qFormat/>
    <w:rPr>
      <w:sz w:val="21"/>
      <w:szCs w:val="22"/>
    </w:rPr>
  </w:style>
  <w:style w:type="character" w:styleId="1084" w:customStyle="1">
    <w:name w:val="批注主题 字符1"/>
    <w:basedOn w:val="1083"/>
    <w:link w:val="721"/>
    <w:uiPriority w:val="99"/>
    <w:semiHidden/>
    <w:qFormat/>
    <w:rPr>
      <w:b/>
      <w:bCs/>
      <w:sz w:val="21"/>
      <w:szCs w:val="22"/>
    </w:rPr>
  </w:style>
  <w:style w:type="numbering" w:styleId="224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yun lulu</dc:creator>
  <cp:lastModifiedBy>邹丹</cp:lastModifiedBy>
  <cp:revision>3</cp:revision>
  <dcterms:created xsi:type="dcterms:W3CDTF">2025-11-25T03:18:00Z</dcterms:created>
  <dcterms:modified xsi:type="dcterms:W3CDTF">2025-11-27T06:04:20Z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4F235E3A18564E76ADA4554156782D14_13</vt:lpwstr>
  </property>
  <property fmtid="{D5CDD505-2E9C-101B-9397-08002B2CF9AE}" pid="4" name="KSOTemplateDocerSaveRecord">
    <vt:lpwstr>eyJoZGlkIjoiNGFkY2JmMmIxYzEzYWYxNzFlOTk2OTkzNGQzYTFjMDIiLCJ1c2VySWQiOiIxNjg2OTk4NDc3In0=</vt:lpwstr>
  </property>
  <property fmtid="{D5CDD505-2E9C-101B-9397-08002B2CF9AE}" pid="5" name="GSEDS_HWMT_d46a6755">
    <vt:lpwstr>f24565aa_mFV3xz85Iyk0O8pPmHv+qD0bRbI=_8QYrr1ZJWlFHQblS8nWEzD22lI6ruawEbZ7jvlv6ik+nkGRo0cPfIMnyOFofmI1cFajaz2wFH1nJNMKejlLotHTgBiAilMtnUtjuIj59hplohQlIxnJGMWi7jOzz_49d6b59c</vt:lpwstr>
  </property>
</Properties>
</file>